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54559" w14:textId="77777777"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14:paraId="5982194F" w14:textId="77777777" w:rsidR="002C4669" w:rsidRDefault="002C4669" w:rsidP="002C4669">
      <w:pPr>
        <w:spacing w:line="276" w:lineRule="auto"/>
        <w:rPr>
          <w:b/>
          <w:bCs/>
          <w:sz w:val="48"/>
          <w:szCs w:val="24"/>
        </w:rPr>
      </w:pPr>
    </w:p>
    <w:p w14:paraId="6F11CB75" w14:textId="77777777"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14:paraId="18B7320E" w14:textId="77777777" w:rsidR="002C4669" w:rsidRPr="009A0F4F" w:rsidRDefault="002C4669" w:rsidP="002C4669">
      <w:pPr>
        <w:spacing w:before="0" w:after="0" w:line="240" w:lineRule="auto"/>
        <w:jc w:val="center"/>
        <w:rPr>
          <w:b/>
          <w:bCs/>
          <w:sz w:val="96"/>
          <w:szCs w:val="24"/>
        </w:rPr>
      </w:pPr>
      <w:r w:rsidRPr="009A0F4F">
        <w:rPr>
          <w:b/>
          <w:bCs/>
          <w:sz w:val="96"/>
          <w:szCs w:val="24"/>
        </w:rPr>
        <w:t>MATRIZ DE RISCOS</w:t>
      </w:r>
    </w:p>
    <w:p w14:paraId="470801F3" w14:textId="77777777" w:rsidR="002C4669" w:rsidRPr="009A0F4F" w:rsidRDefault="002C4669" w:rsidP="002C4669">
      <w:pPr>
        <w:spacing w:line="276" w:lineRule="auto"/>
        <w:rPr>
          <w:b/>
          <w:bCs/>
          <w:szCs w:val="24"/>
        </w:rPr>
      </w:pPr>
    </w:p>
    <w:p w14:paraId="193FB054" w14:textId="77777777" w:rsidR="002C4669" w:rsidRPr="009A0F4F" w:rsidRDefault="002C4669" w:rsidP="002C4669">
      <w:pPr>
        <w:spacing w:line="276" w:lineRule="auto"/>
        <w:rPr>
          <w:b/>
          <w:bCs/>
          <w:szCs w:val="24"/>
        </w:rPr>
      </w:pPr>
    </w:p>
    <w:p w14:paraId="3B5C5351" w14:textId="77777777" w:rsidR="002C4669" w:rsidRPr="009A0F4F" w:rsidRDefault="002C4669" w:rsidP="002C4669">
      <w:pPr>
        <w:spacing w:line="276" w:lineRule="auto"/>
        <w:rPr>
          <w:b/>
          <w:bCs/>
          <w:szCs w:val="24"/>
        </w:rPr>
      </w:pPr>
    </w:p>
    <w:p w14:paraId="5FF52B3B" w14:textId="77777777" w:rsidR="002C4669" w:rsidRPr="009A0F4F" w:rsidRDefault="002C4669" w:rsidP="002C4669">
      <w:pPr>
        <w:spacing w:line="276" w:lineRule="auto"/>
        <w:rPr>
          <w:b/>
          <w:bCs/>
          <w:szCs w:val="24"/>
        </w:rPr>
      </w:pPr>
    </w:p>
    <w:p w14:paraId="5B886A59" w14:textId="22C5D9E5" w:rsidR="002C4669" w:rsidRPr="009A0F4F" w:rsidRDefault="00066B18" w:rsidP="002C4669">
      <w:pPr>
        <w:spacing w:line="276" w:lineRule="auto"/>
        <w:rPr>
          <w:b/>
          <w:bCs/>
          <w:szCs w:val="24"/>
        </w:rPr>
      </w:pPr>
      <w:r w:rsidRPr="009A0F4F">
        <w:rPr>
          <w:b/>
          <w:bCs/>
          <w:sz w:val="32"/>
          <w:szCs w:val="24"/>
        </w:rPr>
        <w:t xml:space="preserve">OBJETO: </w:t>
      </w:r>
      <w:r w:rsidR="00A2209C" w:rsidRPr="009A0F4F">
        <w:rPr>
          <w:bCs/>
          <w:szCs w:val="24"/>
        </w:rPr>
        <w:t>CONT</w:t>
      </w:r>
      <w:r w:rsidR="008800B5" w:rsidRPr="009A0F4F">
        <w:rPr>
          <w:bCs/>
          <w:szCs w:val="24"/>
        </w:rPr>
        <w:t xml:space="preserve">RATAÇÃO DE EMPRESA ESPECIALIZADA DE ENGENHARIA PARA EXECUÇÃO DE SERVIÇOS DE </w:t>
      </w:r>
      <w:r w:rsidR="008800B5" w:rsidRPr="008800B5">
        <w:rPr>
          <w:bCs/>
          <w:szCs w:val="24"/>
        </w:rPr>
        <w:t>PAVIMENTAÇÃO DAS RUAS DUÍLIO SCARTON E JOÃO SACCANI, FUNDÃO/ES</w:t>
      </w:r>
      <w:r w:rsidR="008800B5" w:rsidRPr="009A0F4F">
        <w:rPr>
          <w:bCs/>
          <w:szCs w:val="24"/>
        </w:rPr>
        <w:t>, COM FORNECIMENTO DE MÃO DE OBRA, MATERIAIS, EQUIPAMENTOS E ENSAIOS EM LABORATÓRIOS NECESSÁRIOS À EXECUÇÃO DAS OBRAS E SERVIÇOS, CONFORME ESPECIFICAÇÕES TÉCNICAS, UNIDADES E QUANTIDADES.</w:t>
      </w:r>
    </w:p>
    <w:p w14:paraId="1B64B219" w14:textId="77777777" w:rsidR="002C4669" w:rsidRPr="009A0F4F" w:rsidRDefault="002C4669" w:rsidP="002C4669">
      <w:pPr>
        <w:spacing w:line="276" w:lineRule="auto"/>
        <w:rPr>
          <w:b/>
          <w:bCs/>
          <w:szCs w:val="24"/>
        </w:rPr>
      </w:pPr>
    </w:p>
    <w:p w14:paraId="011133CA" w14:textId="77777777" w:rsidR="00066B18" w:rsidRPr="009A0F4F" w:rsidRDefault="00066B18" w:rsidP="002C4669">
      <w:pPr>
        <w:spacing w:line="276" w:lineRule="auto"/>
        <w:rPr>
          <w:b/>
          <w:bCs/>
          <w:szCs w:val="24"/>
        </w:rPr>
      </w:pPr>
    </w:p>
    <w:p w14:paraId="0BFC8389" w14:textId="77777777" w:rsidR="00066B18" w:rsidRPr="009A0F4F" w:rsidRDefault="00066B18" w:rsidP="002C4669">
      <w:pPr>
        <w:spacing w:line="276" w:lineRule="auto"/>
        <w:rPr>
          <w:b/>
          <w:bCs/>
          <w:szCs w:val="24"/>
        </w:rPr>
      </w:pPr>
    </w:p>
    <w:p w14:paraId="714EC641" w14:textId="77777777" w:rsidR="00066B18" w:rsidRPr="009A0F4F" w:rsidRDefault="00066B18" w:rsidP="002C4669">
      <w:pPr>
        <w:spacing w:line="276" w:lineRule="auto"/>
        <w:rPr>
          <w:b/>
          <w:bCs/>
          <w:szCs w:val="24"/>
        </w:rPr>
      </w:pPr>
    </w:p>
    <w:p w14:paraId="7618ACC0" w14:textId="77777777" w:rsidR="00066B18" w:rsidRPr="009A0F4F" w:rsidRDefault="00066B18" w:rsidP="002C4669">
      <w:pPr>
        <w:spacing w:line="276" w:lineRule="auto"/>
        <w:rPr>
          <w:b/>
          <w:bCs/>
          <w:szCs w:val="24"/>
        </w:rPr>
      </w:pPr>
    </w:p>
    <w:p w14:paraId="2BA83105" w14:textId="77777777" w:rsidR="002C4669" w:rsidRPr="009A0F4F" w:rsidRDefault="002C4669" w:rsidP="002C4669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14:paraId="6E6D5C9D" w14:textId="77777777" w:rsidR="00D731A5" w:rsidRPr="009A0F4F" w:rsidRDefault="00D731A5" w:rsidP="002C4669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14:paraId="7486DE08" w14:textId="77777777" w:rsidR="002C4669" w:rsidRPr="009A0F4F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9A0F4F">
        <w:rPr>
          <w:rFonts w:cs="Arial"/>
          <w:b/>
          <w:szCs w:val="24"/>
        </w:rPr>
        <w:t xml:space="preserve">1.0 – DOS </w:t>
      </w:r>
      <w:r w:rsidR="002C4669" w:rsidRPr="009A0F4F">
        <w:rPr>
          <w:rFonts w:cs="Arial"/>
          <w:b/>
          <w:szCs w:val="24"/>
        </w:rPr>
        <w:t>OBJETIVOS</w:t>
      </w:r>
    </w:p>
    <w:p w14:paraId="7500C16E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390981C9" w14:textId="77777777" w:rsidR="002C4669" w:rsidRPr="009A0F4F" w:rsidRDefault="002C4669" w:rsidP="00D8313C">
      <w:pPr>
        <w:pStyle w:val="PargrafodaLista"/>
        <w:numPr>
          <w:ilvl w:val="1"/>
          <w:numId w:val="35"/>
        </w:num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– Os principais objetivos desta matriz de risco são:</w:t>
      </w:r>
    </w:p>
    <w:p w14:paraId="3CC4DA5B" w14:textId="77777777" w:rsidR="002C4669" w:rsidRPr="009A0F4F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 w:val="23"/>
          <w:szCs w:val="23"/>
        </w:rPr>
      </w:pPr>
    </w:p>
    <w:p w14:paraId="66F9A2D5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a) Identificar os riscos/eventos envolvidos na gestão do contrato e as respectivas respostas/ações; e,</w:t>
      </w:r>
    </w:p>
    <w:p w14:paraId="11E8B40D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27501511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b) Definir responsabilidades entre as partes, buscando preservar o equilíbrio econômico-financeiro do contrato.</w:t>
      </w:r>
    </w:p>
    <w:p w14:paraId="4644E572" w14:textId="77777777" w:rsidR="00D8313C" w:rsidRPr="009A0F4F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5C233010" w14:textId="77777777" w:rsidR="00D8313C" w:rsidRPr="009A0F4F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9A0F4F">
        <w:rPr>
          <w:rFonts w:cs="Arial"/>
          <w:b/>
          <w:szCs w:val="24"/>
        </w:rPr>
        <w:t>2.0 – DA FUNDAMENTAÇÃO LEGAL</w:t>
      </w:r>
    </w:p>
    <w:p w14:paraId="4CF7B3FF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55C123D7" w14:textId="77777777" w:rsidR="00D8313C" w:rsidRPr="009A0F4F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9A0F4F">
        <w:rPr>
          <w:rFonts w:cs="Arial"/>
          <w:color w:val="000000"/>
          <w:sz w:val="23"/>
          <w:szCs w:val="23"/>
        </w:rPr>
        <w:t>O conceito de Matriz de Risco é definido pelo Art. 6º</w:t>
      </w:r>
      <w:r w:rsidR="00461B7E" w:rsidRPr="009A0F4F">
        <w:rPr>
          <w:rFonts w:cs="Arial"/>
          <w:color w:val="000000"/>
          <w:sz w:val="23"/>
          <w:szCs w:val="23"/>
        </w:rPr>
        <w:t xml:space="preserve">, inciso </w:t>
      </w:r>
      <w:r w:rsidRPr="009A0F4F">
        <w:rPr>
          <w:rFonts w:cs="Arial"/>
          <w:color w:val="000000"/>
          <w:sz w:val="23"/>
          <w:szCs w:val="23"/>
        </w:rPr>
        <w:t>XXVII</w:t>
      </w:r>
      <w:r w:rsidR="00461B7E" w:rsidRPr="009A0F4F">
        <w:rPr>
          <w:rFonts w:cs="Arial"/>
          <w:color w:val="000000"/>
          <w:sz w:val="23"/>
          <w:szCs w:val="23"/>
        </w:rPr>
        <w:t xml:space="preserve"> da Lei 14.133/2021 como</w:t>
      </w:r>
      <w:r w:rsidRPr="009A0F4F">
        <w:rPr>
          <w:rFonts w:cs="Arial"/>
          <w:color w:val="000000"/>
          <w:sz w:val="23"/>
          <w:szCs w:val="23"/>
        </w:rPr>
        <w:t xml:space="preserve"> cláusula contratual definidora de riscos e de responsabilidades entre as partes e caracterizadora do equilíbrio econômico-financeiro inicial do contrato, em termos de ônus financeiro decorrente de eventos supervenientes à contratação</w:t>
      </w:r>
      <w:r w:rsidR="00461B7E" w:rsidRPr="009A0F4F">
        <w:rPr>
          <w:rFonts w:cs="Arial"/>
          <w:color w:val="000000"/>
          <w:sz w:val="23"/>
          <w:szCs w:val="23"/>
        </w:rPr>
        <w:t>.</w:t>
      </w:r>
    </w:p>
    <w:p w14:paraId="6D88BFA7" w14:textId="77777777" w:rsidR="00461B7E" w:rsidRPr="009A0F4F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</w:p>
    <w:p w14:paraId="322D4DA0" w14:textId="77777777" w:rsidR="00461B7E" w:rsidRPr="009A0F4F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9A0F4F">
        <w:rPr>
          <w:rFonts w:cs="Arial"/>
          <w:color w:val="000000"/>
          <w:sz w:val="23"/>
          <w:szCs w:val="23"/>
        </w:rPr>
        <w:t>Já seus critérios de elaboração são definidos através Capítulo III, Art. 103 da Lei 14.133/21, conforme transcritos abaixo:</w:t>
      </w:r>
    </w:p>
    <w:p w14:paraId="0F07B298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r w:rsidRPr="009A0F4F">
        <w:rPr>
          <w:rFonts w:ascii="Arial" w:hAnsi="Arial" w:cs="Arial"/>
          <w:color w:val="000000"/>
          <w:sz w:val="23"/>
          <w:szCs w:val="23"/>
        </w:rPr>
        <w:t>Art. 103. O contrato poderá identificar os riscos contratuais previstos e presumíveis e prever matriz de alocação de riscos, alocando-os entre contratante e contratado, mediante indicação daqueles a serem assumidos pelo setor público ou pelo setor privado ou daqueles a serem compartilhados.</w:t>
      </w:r>
    </w:p>
    <w:p w14:paraId="355B1EED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0" w:name="art103§1"/>
      <w:bookmarkEnd w:id="0"/>
      <w:r w:rsidRPr="009A0F4F">
        <w:rPr>
          <w:rFonts w:ascii="Arial" w:hAnsi="Arial" w:cs="Arial"/>
          <w:color w:val="000000"/>
          <w:sz w:val="23"/>
          <w:szCs w:val="23"/>
        </w:rPr>
        <w:t>§ 1º A alocação de riscos de que trata o </w:t>
      </w:r>
      <w:r w:rsidRPr="009A0F4F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9A0F4F">
        <w:rPr>
          <w:rFonts w:ascii="Arial" w:hAnsi="Arial" w:cs="Arial"/>
          <w:color w:val="000000"/>
          <w:sz w:val="23"/>
          <w:szCs w:val="23"/>
        </w:rPr>
        <w:t> deste artigo considerará, em compatibilidade com as obrigações e os encargos atribuídos às partes no contrato, a natureza do risco, o beneficiário das prestações a que se vincula e a capacidade de cada setor para melhor gerenciá-lo.</w:t>
      </w:r>
    </w:p>
    <w:p w14:paraId="03BE3C4C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1" w:name="art103§2"/>
      <w:bookmarkEnd w:id="1"/>
      <w:r w:rsidRPr="009A0F4F">
        <w:rPr>
          <w:rFonts w:ascii="Arial" w:hAnsi="Arial" w:cs="Arial"/>
          <w:color w:val="000000"/>
          <w:sz w:val="23"/>
          <w:szCs w:val="23"/>
        </w:rPr>
        <w:t>§ 2º Os riscos que tenham cobertura oferecida por seguradoras serão preferencialmente transferidos ao contratado.</w:t>
      </w:r>
    </w:p>
    <w:p w14:paraId="341BED0D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2" w:name="art103§3"/>
      <w:bookmarkEnd w:id="2"/>
      <w:r w:rsidRPr="009A0F4F">
        <w:rPr>
          <w:rFonts w:ascii="Arial" w:hAnsi="Arial" w:cs="Arial"/>
          <w:color w:val="000000"/>
          <w:sz w:val="23"/>
          <w:szCs w:val="23"/>
        </w:rPr>
        <w:t>§ 3º A alocação dos riscos contratuais será quantificada para fins de projeção dos reflexos de seus custos no valor estimado da contratação.</w:t>
      </w:r>
    </w:p>
    <w:p w14:paraId="2E61E377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3" w:name="art103§4"/>
      <w:bookmarkEnd w:id="3"/>
      <w:r w:rsidRPr="009A0F4F">
        <w:rPr>
          <w:rFonts w:ascii="Arial" w:hAnsi="Arial" w:cs="Arial"/>
          <w:color w:val="000000"/>
          <w:sz w:val="23"/>
          <w:szCs w:val="23"/>
        </w:rPr>
        <w:t>§ 4º A matriz de alocação de riscos definirá o equilíbrio econômico-financeiro inicial do contrato em relação a eventos supervenientes e deverá ser observada na solução de eventuais pleitos das partes.</w:t>
      </w:r>
    </w:p>
    <w:p w14:paraId="7C601A9A" w14:textId="77777777" w:rsidR="00461B7E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4" w:name="art103§5"/>
      <w:bookmarkEnd w:id="4"/>
      <w:r w:rsidRPr="009A0F4F">
        <w:rPr>
          <w:rFonts w:ascii="Arial" w:hAnsi="Arial" w:cs="Arial"/>
          <w:color w:val="000000"/>
          <w:sz w:val="23"/>
          <w:szCs w:val="23"/>
        </w:rPr>
        <w:t>§ 5º Sempre que atendidas as condições do contrato e da matriz de alocação de riscos, será considerado mantido o equilíbrio econômico-financeiro, renunciando as partes aos pedidos de restabelecimento do equilíbrio relacionados aos riscos assumidos, exceto no que se refere:</w:t>
      </w:r>
    </w:p>
    <w:p w14:paraId="0DE98600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5" w:name="art103§5i"/>
      <w:bookmarkEnd w:id="5"/>
      <w:r w:rsidRPr="009A0F4F">
        <w:rPr>
          <w:rFonts w:ascii="Arial" w:hAnsi="Arial" w:cs="Arial"/>
          <w:color w:val="000000"/>
          <w:sz w:val="23"/>
          <w:szCs w:val="23"/>
        </w:rPr>
        <w:t xml:space="preserve">I - </w:t>
      </w:r>
      <w:proofErr w:type="gramStart"/>
      <w:r w:rsidRPr="009A0F4F">
        <w:rPr>
          <w:rFonts w:ascii="Arial" w:hAnsi="Arial" w:cs="Arial"/>
          <w:color w:val="000000"/>
          <w:sz w:val="23"/>
          <w:szCs w:val="23"/>
        </w:rPr>
        <w:t>às</w:t>
      </w:r>
      <w:proofErr w:type="gramEnd"/>
      <w:r w:rsidRPr="009A0F4F">
        <w:rPr>
          <w:rFonts w:ascii="Arial" w:hAnsi="Arial" w:cs="Arial"/>
          <w:color w:val="000000"/>
          <w:sz w:val="23"/>
          <w:szCs w:val="23"/>
        </w:rPr>
        <w:t xml:space="preserve"> alterações unilaterais determinadas pela Administração, nas hipóteses do inciso I do </w:t>
      </w:r>
      <w:r w:rsidRPr="009A0F4F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9A0F4F">
        <w:rPr>
          <w:rFonts w:ascii="Arial" w:hAnsi="Arial" w:cs="Arial"/>
          <w:color w:val="000000"/>
          <w:sz w:val="23"/>
          <w:szCs w:val="23"/>
        </w:rPr>
        <w:t> do art. 124 desta Lei;</w:t>
      </w:r>
    </w:p>
    <w:p w14:paraId="52C671CF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6" w:name="art103§5ii"/>
      <w:bookmarkEnd w:id="6"/>
      <w:r w:rsidRPr="009A0F4F">
        <w:rPr>
          <w:rFonts w:ascii="Arial" w:hAnsi="Arial" w:cs="Arial"/>
          <w:color w:val="000000"/>
          <w:sz w:val="23"/>
          <w:szCs w:val="23"/>
        </w:rPr>
        <w:lastRenderedPageBreak/>
        <w:t>II - ao aumento ou à redução, por legislação superveniente, dos tributos diretamente pagos pelo contratado em decorrência do contrato.</w:t>
      </w:r>
    </w:p>
    <w:p w14:paraId="2208FACD" w14:textId="77777777" w:rsidR="00D8313C" w:rsidRPr="009A0F4F" w:rsidRDefault="00D8313C" w:rsidP="00461B7E">
      <w:pPr>
        <w:pStyle w:val="NormalWeb"/>
        <w:spacing w:before="225" w:beforeAutospacing="0" w:after="225" w:afterAutospacing="0"/>
        <w:ind w:firstLine="570"/>
        <w:jc w:val="both"/>
        <w:rPr>
          <w:rFonts w:ascii="Arial" w:hAnsi="Arial" w:cs="Arial"/>
          <w:color w:val="000000"/>
          <w:sz w:val="23"/>
          <w:szCs w:val="23"/>
        </w:rPr>
      </w:pPr>
      <w:bookmarkStart w:id="7" w:name="art103§6"/>
      <w:bookmarkEnd w:id="7"/>
      <w:r w:rsidRPr="009A0F4F">
        <w:rPr>
          <w:rFonts w:ascii="Arial" w:hAnsi="Arial" w:cs="Arial"/>
          <w:color w:val="000000"/>
          <w:sz w:val="23"/>
          <w:szCs w:val="23"/>
        </w:rPr>
        <w:t>§ 6º Na alocação de que trata o </w:t>
      </w:r>
      <w:r w:rsidRPr="009A0F4F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9A0F4F">
        <w:rPr>
          <w:rFonts w:ascii="Arial" w:hAnsi="Arial" w:cs="Arial"/>
          <w:color w:val="000000"/>
          <w:sz w:val="23"/>
          <w:szCs w:val="23"/>
        </w:rPr>
        <w:t xml:space="preserve"> deste artigo, poderão ser adotados métodos e padrões usualmente utilizados por entidades públicas e privadas, e os ministérios e secretarias supervisores dos órgãos e das entidades da Administração Pública poderão definir os parâmetros e o detalhamento dos procedimentos necessários </w:t>
      </w:r>
      <w:r w:rsidR="00AE7BE1" w:rsidRPr="009A0F4F">
        <w:rPr>
          <w:rFonts w:ascii="Arial" w:hAnsi="Arial" w:cs="Arial"/>
          <w:color w:val="000000"/>
          <w:sz w:val="23"/>
          <w:szCs w:val="23"/>
        </w:rPr>
        <w:t>à</w:t>
      </w:r>
      <w:r w:rsidRPr="009A0F4F">
        <w:rPr>
          <w:rFonts w:ascii="Arial" w:hAnsi="Arial" w:cs="Arial"/>
          <w:color w:val="000000"/>
          <w:sz w:val="23"/>
          <w:szCs w:val="23"/>
        </w:rPr>
        <w:t xml:space="preserve"> sua identificação, alocação e quantificação financeira.</w:t>
      </w:r>
    </w:p>
    <w:p w14:paraId="4D8A53D4" w14:textId="77777777" w:rsidR="00652572" w:rsidRPr="009A0F4F" w:rsidRDefault="00652572" w:rsidP="00652572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 w:val="23"/>
          <w:szCs w:val="23"/>
        </w:rPr>
      </w:pPr>
      <w:r w:rsidRPr="009A0F4F">
        <w:rPr>
          <w:rFonts w:cs="Arial"/>
          <w:b/>
          <w:sz w:val="23"/>
          <w:szCs w:val="23"/>
        </w:rPr>
        <w:t>3.0 - METODOLOGIA</w:t>
      </w:r>
    </w:p>
    <w:p w14:paraId="4EBEBF2F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6B95FBF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9A0F4F">
        <w:rPr>
          <w:rFonts w:ascii="Arial" w:hAnsi="Arial" w:cs="Arial"/>
          <w:sz w:val="23"/>
          <w:szCs w:val="23"/>
        </w:rPr>
        <w:t xml:space="preserve">Para a elaboração da Matriz de Risco foram identificados os riscos que podem afetar o empreendimento e caracterizados quanto às consequências de ocorrência do evento e formas de mitigação, além, claro, da alocação, onde se identifica o responsável pela assunção do Risco. </w:t>
      </w:r>
    </w:p>
    <w:p w14:paraId="109AC48F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1C734ED5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9A0F4F">
        <w:rPr>
          <w:rFonts w:ascii="Arial" w:hAnsi="Arial" w:cs="Arial"/>
          <w:sz w:val="23"/>
          <w:szCs w:val="23"/>
        </w:rPr>
        <w:t xml:space="preserve">Foram previstas três formas de alocação dos riscos, conforme é visualizado na Matriz de Risco ao final deste Anexo, as quais são: </w:t>
      </w:r>
    </w:p>
    <w:p w14:paraId="0EA413A7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4792B214" w14:textId="77777777" w:rsidR="00652572" w:rsidRPr="009A0F4F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  <w:r w:rsidRPr="009A0F4F">
        <w:rPr>
          <w:rFonts w:ascii="Arial" w:hAnsi="Arial" w:cs="Arial"/>
          <w:sz w:val="23"/>
          <w:szCs w:val="23"/>
        </w:rPr>
        <w:t xml:space="preserve">• Alocação ao Contratante: Riscos que são assumidos e gerenciados pelo contratante. </w:t>
      </w:r>
    </w:p>
    <w:p w14:paraId="61C67CE2" w14:textId="77777777" w:rsidR="00652572" w:rsidRPr="009A0F4F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</w:p>
    <w:p w14:paraId="16B1DF38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9A0F4F">
        <w:rPr>
          <w:rFonts w:ascii="Arial" w:hAnsi="Arial" w:cs="Arial"/>
          <w:sz w:val="23"/>
          <w:szCs w:val="23"/>
        </w:rPr>
        <w:t>• Alocação ao Contratado: Riscos que são transferidos ao contratado.</w:t>
      </w:r>
    </w:p>
    <w:p w14:paraId="40CD1726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16FDE24D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9A0F4F">
        <w:rPr>
          <w:rFonts w:ascii="Arial" w:hAnsi="Arial" w:cs="Arial"/>
          <w:sz w:val="23"/>
          <w:szCs w:val="23"/>
        </w:rPr>
        <w:t>• Alocação conjunta (Contratante / Contratada): Riscos que são assumidos por ambas as partes, em observância as ações pré-definidas de cada parte.</w:t>
      </w:r>
    </w:p>
    <w:p w14:paraId="24DF611E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</w:rPr>
      </w:pPr>
    </w:p>
    <w:p w14:paraId="289D77C5" w14:textId="77777777" w:rsidR="002C4669" w:rsidRPr="009A0F4F" w:rsidRDefault="00652572" w:rsidP="00AE7BE1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9A0F4F">
        <w:rPr>
          <w:rFonts w:cs="Arial"/>
          <w:b/>
          <w:szCs w:val="24"/>
        </w:rPr>
        <w:t>4</w:t>
      </w:r>
      <w:r w:rsidR="00AE7BE1" w:rsidRPr="009A0F4F">
        <w:rPr>
          <w:rFonts w:cs="Arial"/>
          <w:b/>
          <w:szCs w:val="24"/>
        </w:rPr>
        <w:t xml:space="preserve">.0 </w:t>
      </w:r>
      <w:r w:rsidR="00D8313C" w:rsidRPr="009A0F4F">
        <w:rPr>
          <w:rFonts w:cs="Arial"/>
          <w:b/>
          <w:szCs w:val="24"/>
        </w:rPr>
        <w:t xml:space="preserve">- </w:t>
      </w:r>
      <w:r w:rsidR="002C4669" w:rsidRPr="009A0F4F">
        <w:rPr>
          <w:rFonts w:cs="Arial"/>
          <w:b/>
          <w:szCs w:val="24"/>
        </w:rPr>
        <w:t>PROCESSO PARA MATRIZ DE RISCOS EM CONTRATAÇÃO</w:t>
      </w:r>
    </w:p>
    <w:p w14:paraId="3C087910" w14:textId="77777777" w:rsidR="002C4669" w:rsidRPr="009A0F4F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Cs w:val="24"/>
        </w:rPr>
      </w:pPr>
    </w:p>
    <w:p w14:paraId="2C193301" w14:textId="77777777" w:rsidR="002C4669" w:rsidRPr="009A0F4F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4</w:t>
      </w:r>
      <w:r w:rsidR="002C4669" w:rsidRPr="009A0F4F">
        <w:rPr>
          <w:rFonts w:cs="Arial"/>
          <w:sz w:val="23"/>
          <w:szCs w:val="23"/>
        </w:rPr>
        <w:t>.1 – Identificação de Riscos – É proporcionada pela análise de incertezas em relação a objetivos, processos críticos e mudanças significativas no ambiente. Seu levantamento dar-se-á pela coleta de informações e percepções por meio de font</w:t>
      </w:r>
      <w:r w:rsidR="00AE7BE1" w:rsidRPr="009A0F4F">
        <w:rPr>
          <w:rFonts w:cs="Arial"/>
          <w:sz w:val="23"/>
          <w:szCs w:val="23"/>
        </w:rPr>
        <w:t>es internas e externas, visando a l</w:t>
      </w:r>
      <w:r w:rsidR="002C4669" w:rsidRPr="009A0F4F">
        <w:rPr>
          <w:rFonts w:cs="Arial"/>
          <w:sz w:val="23"/>
          <w:szCs w:val="23"/>
        </w:rPr>
        <w:t>istagem de possíveis eventos supervenientes à assinatura do contrato, impactantes no equilíbrio econômico-financeiro da avença, e previsão de eventual necessidade de prolação de termo adi</w:t>
      </w:r>
      <w:r w:rsidR="00AE7BE1" w:rsidRPr="009A0F4F">
        <w:rPr>
          <w:rFonts w:cs="Arial"/>
          <w:sz w:val="23"/>
          <w:szCs w:val="23"/>
        </w:rPr>
        <w:t>tivo quando de sua ocorrência</w:t>
      </w:r>
      <w:r w:rsidR="002C4669" w:rsidRPr="009A0F4F">
        <w:rPr>
          <w:rFonts w:cs="Arial"/>
          <w:sz w:val="23"/>
          <w:szCs w:val="23"/>
        </w:rPr>
        <w:t>;</w:t>
      </w:r>
    </w:p>
    <w:p w14:paraId="5DC67F2F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230A1567" w14:textId="77777777" w:rsidR="002C4669" w:rsidRPr="009A0F4F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4</w:t>
      </w:r>
      <w:r w:rsidR="002C4669" w:rsidRPr="009A0F4F">
        <w:rPr>
          <w:rFonts w:cs="Arial"/>
          <w:sz w:val="23"/>
          <w:szCs w:val="23"/>
        </w:rPr>
        <w:t>.2 – Análise de Riscos – Desenvolve a compreensão de riscos/eventos, desencadeando a mensuração de sua probabilidade de ocorrência, utilizando-se de meios quantitativos e/ou qualitativos presentes nos critérios de riscos da probabilidade</w:t>
      </w:r>
      <w:r w:rsidR="00AE7BE1" w:rsidRPr="009A0F4F">
        <w:rPr>
          <w:rFonts w:cs="Arial"/>
          <w:sz w:val="23"/>
          <w:szCs w:val="23"/>
        </w:rPr>
        <w:t>;</w:t>
      </w:r>
    </w:p>
    <w:p w14:paraId="54E3D666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43A4F9EB" w14:textId="77777777" w:rsidR="002C4669" w:rsidRPr="009A0F4F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4</w:t>
      </w:r>
      <w:r w:rsidR="002C4669" w:rsidRPr="009A0F4F">
        <w:rPr>
          <w:rFonts w:cs="Arial"/>
          <w:sz w:val="23"/>
          <w:szCs w:val="23"/>
        </w:rPr>
        <w:t>.3 – Avaliação de Riscos – Em razão da natureza do risco ocorre a responsabilização pelo evento entre Contratante e Contratada, ressaltando-se a vedação para celebração de aditivos decorrentes de eventos alocados como de responsabilidade da contratada.</w:t>
      </w:r>
    </w:p>
    <w:p w14:paraId="2B1497AC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500B5928" w14:textId="77777777" w:rsidR="002C4669" w:rsidRPr="009A0F4F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4</w:t>
      </w:r>
      <w:r w:rsidR="002C4669" w:rsidRPr="009A0F4F">
        <w:rPr>
          <w:rFonts w:cs="Arial"/>
          <w:sz w:val="23"/>
          <w:szCs w:val="23"/>
        </w:rPr>
        <w:t>.4 – Tratamento de Riscos – Em contratações, define a resposta ao risco/evento avaliado por meio de ações preestabelecidas. A resposta ao risco/evento ocorre dentre as seguintes opções:</w:t>
      </w:r>
    </w:p>
    <w:p w14:paraId="5E682BCC" w14:textId="77777777" w:rsidR="00AE7BE1" w:rsidRPr="009A0F4F" w:rsidRDefault="00AE7BE1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5D6509E6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lastRenderedPageBreak/>
        <w:t xml:space="preserve">a) </w:t>
      </w:r>
      <w:r w:rsidRPr="009A0F4F">
        <w:rPr>
          <w:rFonts w:cs="Arial"/>
          <w:sz w:val="23"/>
          <w:szCs w:val="23"/>
        </w:rPr>
        <w:t>Aceitar – nenhuma ação é tomada para reduzir o impacto do risco/evento e/ou a sua probabilidade de ocorrência, aceitando-se suas consequências;</w:t>
      </w:r>
    </w:p>
    <w:p w14:paraId="08399FC3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25B2C233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 xml:space="preserve">b) </w:t>
      </w:r>
      <w:r w:rsidRPr="009A0F4F">
        <w:rPr>
          <w:rFonts w:cs="Arial"/>
          <w:sz w:val="23"/>
          <w:szCs w:val="23"/>
        </w:rPr>
        <w:t>Evitar – as atividades que dão origem ao risco/evento são abandonadas;</w:t>
      </w:r>
    </w:p>
    <w:p w14:paraId="55D0E782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4A4E3CEB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 xml:space="preserve">c) </w:t>
      </w:r>
      <w:r w:rsidRPr="009A0F4F">
        <w:rPr>
          <w:rFonts w:cs="Arial"/>
          <w:sz w:val="23"/>
          <w:szCs w:val="23"/>
        </w:rPr>
        <w:t>Reduzir – alguma ação é tomada para minimizar o impacto do risco/evento e/ou a sua probabilidade de ocorrência;</w:t>
      </w:r>
    </w:p>
    <w:p w14:paraId="3683E348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7CB307CF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>d) Compartilhar – alguma ação é tomada para transferir parte do risco/evento a terceiros.</w:t>
      </w:r>
      <w:r w:rsidR="00D8313C" w:rsidRPr="009A0F4F">
        <w:rPr>
          <w:rFonts w:eastAsia="CIDFont+F3" w:cs="Arial"/>
          <w:sz w:val="23"/>
          <w:szCs w:val="23"/>
        </w:rPr>
        <w:t xml:space="preserve"> </w:t>
      </w:r>
      <w:r w:rsidRPr="009A0F4F">
        <w:rPr>
          <w:rFonts w:eastAsia="CIDFont+F3" w:cs="Arial"/>
          <w:sz w:val="23"/>
          <w:szCs w:val="23"/>
        </w:rPr>
        <w:t>O compartilhamento se dá por meio da con</w:t>
      </w:r>
      <w:r w:rsidR="00AE7BE1" w:rsidRPr="009A0F4F">
        <w:rPr>
          <w:rFonts w:eastAsia="CIDFont+F3" w:cs="Arial"/>
          <w:sz w:val="23"/>
          <w:szCs w:val="23"/>
        </w:rPr>
        <w:t>tratação de serviços de seguro ou</w:t>
      </w:r>
      <w:r w:rsidRPr="009A0F4F">
        <w:rPr>
          <w:rFonts w:eastAsia="CIDFont+F3" w:cs="Arial"/>
          <w:sz w:val="23"/>
          <w:szCs w:val="23"/>
        </w:rPr>
        <w:t xml:space="preserve"> terceirização de uma atividade; e,</w:t>
      </w:r>
    </w:p>
    <w:p w14:paraId="7B3F9B6A" w14:textId="77777777" w:rsidR="00D8313C" w:rsidRPr="009A0F4F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523A1E3A" w14:textId="77777777" w:rsidR="002C4669" w:rsidRPr="009A0F4F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 xml:space="preserve">e) </w:t>
      </w:r>
      <w:r w:rsidR="002C4669" w:rsidRPr="009A0F4F">
        <w:rPr>
          <w:rFonts w:eastAsia="CIDFont+F3" w:cs="Arial"/>
          <w:sz w:val="23"/>
          <w:szCs w:val="23"/>
        </w:rPr>
        <w:t>Explorar – alguma ação é tomada para explorar a oportunidade</w:t>
      </w:r>
      <w:proofErr w:type="gramStart"/>
      <w:r w:rsidR="002C4669" w:rsidRPr="009A0F4F">
        <w:rPr>
          <w:rFonts w:eastAsia="CIDFont+F3" w:cs="Arial"/>
          <w:sz w:val="23"/>
          <w:szCs w:val="23"/>
        </w:rPr>
        <w:t>/”risco</w:t>
      </w:r>
      <w:proofErr w:type="gramEnd"/>
      <w:r w:rsidR="002C4669" w:rsidRPr="009A0F4F">
        <w:rPr>
          <w:rFonts w:eastAsia="CIDFont+F3" w:cs="Arial"/>
          <w:sz w:val="23"/>
          <w:szCs w:val="23"/>
        </w:rPr>
        <w:t xml:space="preserve"> positivo”,</w:t>
      </w:r>
    </w:p>
    <w:p w14:paraId="1AA6867E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>buscando a sua concretização.</w:t>
      </w:r>
    </w:p>
    <w:p w14:paraId="01824713" w14:textId="77777777" w:rsidR="00D8313C" w:rsidRPr="009A0F4F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7DED5953" w14:textId="77777777" w:rsidR="002C4669" w:rsidRPr="009A0F4F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>4</w:t>
      </w:r>
      <w:r w:rsidR="002C4669" w:rsidRPr="009A0F4F">
        <w:rPr>
          <w:rFonts w:eastAsia="CIDFont+F3" w:cs="Arial"/>
          <w:sz w:val="23"/>
          <w:szCs w:val="23"/>
        </w:rPr>
        <w:t>.5 – Monitoramento de Riscos – São desempenhados pela autoridade/unidade responsável pela</w:t>
      </w:r>
      <w:r w:rsidR="00D8313C" w:rsidRPr="009A0F4F">
        <w:rPr>
          <w:rFonts w:eastAsia="CIDFont+F3" w:cs="Arial"/>
          <w:sz w:val="23"/>
          <w:szCs w:val="23"/>
        </w:rPr>
        <w:t xml:space="preserve"> </w:t>
      </w:r>
      <w:r w:rsidR="002C4669" w:rsidRPr="009A0F4F">
        <w:rPr>
          <w:rFonts w:eastAsia="CIDFont+F3" w:cs="Arial"/>
          <w:sz w:val="23"/>
          <w:szCs w:val="23"/>
        </w:rPr>
        <w:t>gestão e fiscalização do contrato, bem como por quaisquer partes relacionadas, envolvendo a</w:t>
      </w:r>
      <w:r w:rsidR="00D8313C" w:rsidRPr="009A0F4F">
        <w:rPr>
          <w:rFonts w:eastAsia="CIDFont+F3" w:cs="Arial"/>
          <w:sz w:val="23"/>
          <w:szCs w:val="23"/>
        </w:rPr>
        <w:t xml:space="preserve"> </w:t>
      </w:r>
      <w:r w:rsidR="002C4669" w:rsidRPr="009A0F4F">
        <w:rPr>
          <w:rFonts w:eastAsia="CIDFont+F3" w:cs="Arial"/>
          <w:sz w:val="23"/>
          <w:szCs w:val="23"/>
        </w:rPr>
        <w:t>revisão, checagem, vigilância, acompanhamento e em resposta a algum fato específico.</w:t>
      </w:r>
    </w:p>
    <w:p w14:paraId="1588B28D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383691BB" w14:textId="77777777" w:rsidR="00D42C89" w:rsidRPr="009A0F4F" w:rsidRDefault="00225B9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 xml:space="preserve">4.6 - </w:t>
      </w:r>
      <w:r w:rsidR="00D42C89" w:rsidRPr="009A0F4F">
        <w:rPr>
          <w:rFonts w:eastAsia="CIDFont+F3" w:cs="Arial"/>
          <w:sz w:val="23"/>
          <w:szCs w:val="23"/>
        </w:rPr>
        <w:t>Para fins desta contratação, os riscos foram divididos em duas fases:</w:t>
      </w:r>
    </w:p>
    <w:p w14:paraId="208189DA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24923EA6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>- Fase de Planejamento da Contratação;</w:t>
      </w:r>
    </w:p>
    <w:p w14:paraId="197A209A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>- Fase de Gestão do Contrato.</w:t>
      </w:r>
    </w:p>
    <w:p w14:paraId="7D41738E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52FB16F4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>Sendo que conforme reza a Lei 14.133/21, a matriz de risco é uma cláusula contratual, sendo assim os riscos mencionados na fase de gestão contratual deverão ser anexados ao contrato.</w:t>
      </w:r>
    </w:p>
    <w:p w14:paraId="05AC7EF6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b/>
          <w:bCs/>
          <w:szCs w:val="24"/>
        </w:rPr>
      </w:pPr>
    </w:p>
    <w:p w14:paraId="458F618F" w14:textId="77777777" w:rsidR="00E16A1B" w:rsidRPr="009A0F4F" w:rsidRDefault="00652572" w:rsidP="00D42C89">
      <w:pPr>
        <w:shd w:val="clear" w:color="auto" w:fill="A6A6A6" w:themeFill="background1" w:themeFillShade="A6"/>
        <w:spacing w:before="0" w:after="0" w:line="240" w:lineRule="auto"/>
        <w:rPr>
          <w:b/>
          <w:bCs/>
          <w:szCs w:val="24"/>
        </w:rPr>
      </w:pPr>
      <w:r w:rsidRPr="009A0F4F">
        <w:rPr>
          <w:b/>
          <w:bCs/>
          <w:szCs w:val="24"/>
        </w:rPr>
        <w:t>5</w:t>
      </w:r>
      <w:r w:rsidR="00D42C89" w:rsidRPr="009A0F4F">
        <w:rPr>
          <w:b/>
          <w:bCs/>
          <w:szCs w:val="24"/>
        </w:rPr>
        <w:t>.0</w:t>
      </w:r>
      <w:r w:rsidR="00FA0008" w:rsidRPr="009A0F4F">
        <w:rPr>
          <w:b/>
          <w:bCs/>
          <w:szCs w:val="24"/>
        </w:rPr>
        <w:t xml:space="preserve"> </w:t>
      </w:r>
      <w:r w:rsidR="00E16A1B" w:rsidRPr="009A0F4F">
        <w:rPr>
          <w:b/>
          <w:bCs/>
          <w:szCs w:val="24"/>
        </w:rPr>
        <w:t xml:space="preserve">- </w:t>
      </w:r>
      <w:r w:rsidR="00D42C89" w:rsidRPr="009A0F4F">
        <w:rPr>
          <w:b/>
          <w:bCs/>
          <w:szCs w:val="24"/>
        </w:rPr>
        <w:t>ANEXOS</w:t>
      </w:r>
    </w:p>
    <w:p w14:paraId="289E7BA6" w14:textId="77777777" w:rsidR="001D3180" w:rsidRPr="009A0F4F" w:rsidRDefault="001D3180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14:paraId="62FA5AD5" w14:textId="77777777" w:rsidR="00D42C89" w:rsidRPr="009A0F4F" w:rsidRDefault="00D42C89" w:rsidP="00D42C89">
      <w:pPr>
        <w:spacing w:before="0" w:after="0" w:line="240" w:lineRule="auto"/>
        <w:rPr>
          <w:sz w:val="23"/>
          <w:szCs w:val="23"/>
        </w:rPr>
      </w:pPr>
      <w:r w:rsidRPr="009A0F4F">
        <w:rPr>
          <w:sz w:val="23"/>
          <w:szCs w:val="23"/>
        </w:rPr>
        <w:t>ANEXO A – Matriz de risco da fase de Planejamento da Contratação.</w:t>
      </w:r>
    </w:p>
    <w:p w14:paraId="397B7AD1" w14:textId="77777777" w:rsidR="00D42C89" w:rsidRPr="009A0F4F" w:rsidRDefault="00D42C89" w:rsidP="00D42C89">
      <w:pPr>
        <w:pStyle w:val="PargrafodaLista"/>
        <w:spacing w:before="0" w:after="0" w:line="240" w:lineRule="auto"/>
        <w:ind w:left="0"/>
        <w:rPr>
          <w:sz w:val="23"/>
          <w:szCs w:val="23"/>
        </w:rPr>
      </w:pPr>
      <w:r w:rsidRPr="009A0F4F">
        <w:rPr>
          <w:sz w:val="23"/>
          <w:szCs w:val="23"/>
        </w:rPr>
        <w:t>ANEXO B – Matriz de risco da fase de Gestão Contratual.</w:t>
      </w:r>
    </w:p>
    <w:p w14:paraId="51236ACF" w14:textId="77777777" w:rsidR="00D42C89" w:rsidRPr="009A0F4F" w:rsidRDefault="00D42C89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14:paraId="56C55A98" w14:textId="77777777" w:rsidR="00E041E2" w:rsidRPr="009A0F4F" w:rsidRDefault="00652572" w:rsidP="004C14A8">
      <w:pPr>
        <w:shd w:val="clear" w:color="auto" w:fill="A6A6A6" w:themeFill="background1" w:themeFillShade="A6"/>
        <w:spacing w:before="0" w:after="0" w:line="276" w:lineRule="auto"/>
        <w:rPr>
          <w:rFonts w:cs="Arial"/>
          <w:b/>
          <w:bCs/>
          <w:szCs w:val="24"/>
        </w:rPr>
      </w:pPr>
      <w:r w:rsidRPr="009A0F4F">
        <w:rPr>
          <w:rFonts w:cs="Arial"/>
          <w:b/>
          <w:bCs/>
          <w:szCs w:val="24"/>
        </w:rPr>
        <w:t>6</w:t>
      </w:r>
      <w:r w:rsidR="004C14A8" w:rsidRPr="009A0F4F">
        <w:rPr>
          <w:rFonts w:cs="Arial"/>
          <w:b/>
          <w:bCs/>
          <w:szCs w:val="24"/>
        </w:rPr>
        <w:t xml:space="preserve">.0 - </w:t>
      </w:r>
      <w:r w:rsidR="00542B51" w:rsidRPr="009A0F4F">
        <w:rPr>
          <w:rFonts w:cs="Arial"/>
          <w:b/>
          <w:bCs/>
          <w:szCs w:val="24"/>
        </w:rPr>
        <w:t xml:space="preserve">DOS </w:t>
      </w:r>
      <w:r w:rsidR="00D42C89" w:rsidRPr="009A0F4F">
        <w:rPr>
          <w:rFonts w:cs="Arial"/>
          <w:b/>
          <w:bCs/>
          <w:szCs w:val="24"/>
        </w:rPr>
        <w:t>RESPONSÁVEIS PELA ELABORAÇÃO DA MATRIZ DE RISCOS</w:t>
      </w:r>
    </w:p>
    <w:p w14:paraId="6C31596D" w14:textId="77777777" w:rsidR="00652572" w:rsidRPr="009A0F4F" w:rsidRDefault="00652572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</w:p>
    <w:p w14:paraId="3C408D21" w14:textId="3FF9D1C5" w:rsidR="00C7629F" w:rsidRPr="009A0F4F" w:rsidRDefault="002C04E4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 xml:space="preserve">Fundão – ES, </w:t>
      </w:r>
      <w:r w:rsidR="00A2209C" w:rsidRPr="009A0F4F">
        <w:rPr>
          <w:rFonts w:cs="Arial"/>
          <w:sz w:val="23"/>
          <w:szCs w:val="23"/>
        </w:rPr>
        <w:t>0</w:t>
      </w:r>
      <w:r w:rsidR="008800B5">
        <w:rPr>
          <w:rFonts w:cs="Arial"/>
          <w:sz w:val="23"/>
          <w:szCs w:val="23"/>
        </w:rPr>
        <w:t>9</w:t>
      </w:r>
      <w:r w:rsidR="009523C4" w:rsidRPr="009A0F4F">
        <w:rPr>
          <w:rFonts w:cs="Arial"/>
          <w:sz w:val="23"/>
          <w:szCs w:val="23"/>
        </w:rPr>
        <w:t xml:space="preserve"> de </w:t>
      </w:r>
      <w:r w:rsidR="00A2209C" w:rsidRPr="009A0F4F">
        <w:rPr>
          <w:rFonts w:cs="Arial"/>
          <w:sz w:val="23"/>
          <w:szCs w:val="23"/>
        </w:rPr>
        <w:t>janeiro</w:t>
      </w:r>
      <w:r w:rsidR="00C67218" w:rsidRPr="009A0F4F">
        <w:rPr>
          <w:rFonts w:cs="Arial"/>
          <w:sz w:val="23"/>
          <w:szCs w:val="23"/>
        </w:rPr>
        <w:t xml:space="preserve"> de 202</w:t>
      </w:r>
      <w:r w:rsidR="00A2209C" w:rsidRPr="009A0F4F">
        <w:rPr>
          <w:rFonts w:cs="Arial"/>
          <w:sz w:val="23"/>
          <w:szCs w:val="23"/>
        </w:rPr>
        <w:t>6</w:t>
      </w:r>
      <w:r w:rsidR="00542B51" w:rsidRPr="009A0F4F">
        <w:rPr>
          <w:rFonts w:cs="Arial"/>
          <w:sz w:val="23"/>
          <w:szCs w:val="23"/>
        </w:rPr>
        <w:t>.</w:t>
      </w:r>
    </w:p>
    <w:p w14:paraId="1372FF6F" w14:textId="77777777" w:rsidR="005E2E28" w:rsidRPr="009A0F4F" w:rsidRDefault="005E2E28" w:rsidP="00697830">
      <w:pPr>
        <w:pStyle w:val="PargrafodaLista"/>
        <w:jc w:val="right"/>
        <w:rPr>
          <w:rFonts w:cs="Arial"/>
          <w:szCs w:val="24"/>
        </w:rPr>
      </w:pPr>
    </w:p>
    <w:p w14:paraId="3DBE1400" w14:textId="77777777" w:rsidR="00D731A5" w:rsidRPr="009A0F4F" w:rsidRDefault="00D731A5" w:rsidP="00D731A5">
      <w:pPr>
        <w:spacing w:after="0"/>
        <w:rPr>
          <w:rFonts w:ascii="Tahoma" w:hAnsi="Tahoma"/>
          <w:b/>
          <w:sz w:val="22"/>
        </w:rPr>
      </w:pPr>
    </w:p>
    <w:p w14:paraId="3FE7CE51" w14:textId="77777777" w:rsidR="004E020E" w:rsidRPr="009A0F4F" w:rsidRDefault="004E020E" w:rsidP="004E020E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18"/>
          <w:szCs w:val="18"/>
        </w:rPr>
      </w:pPr>
      <w:r w:rsidRPr="009A0F4F">
        <w:rPr>
          <w:rFonts w:ascii="Tahoma" w:hAnsi="Tahoma"/>
          <w:b/>
          <w:bCs/>
          <w:sz w:val="18"/>
          <w:szCs w:val="18"/>
        </w:rPr>
        <w:t>_____________________       ___________________      ___</w:t>
      </w:r>
      <w:r w:rsidRPr="009A0F4F">
        <w:rPr>
          <w:rFonts w:ascii="Tahoma" w:hAnsi="Tahoma"/>
          <w:b/>
          <w:bCs/>
          <w:sz w:val="18"/>
          <w:szCs w:val="18"/>
        </w:rPr>
        <w:softHyphen/>
      </w:r>
      <w:r w:rsidRPr="009A0F4F">
        <w:rPr>
          <w:rFonts w:ascii="Tahoma" w:hAnsi="Tahoma"/>
          <w:b/>
          <w:bCs/>
          <w:sz w:val="18"/>
          <w:szCs w:val="18"/>
        </w:rPr>
        <w:softHyphen/>
        <w:t>___________________________</w:t>
      </w:r>
    </w:p>
    <w:p w14:paraId="3AE2D570" w14:textId="77777777" w:rsidR="004E020E" w:rsidRPr="009A0F4F" w:rsidRDefault="004E020E" w:rsidP="004E020E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18"/>
          <w:szCs w:val="18"/>
        </w:rPr>
      </w:pPr>
      <w:r w:rsidRPr="009A0F4F">
        <w:rPr>
          <w:rFonts w:ascii="Tahoma" w:hAnsi="Tahoma"/>
          <w:b/>
          <w:bCs/>
          <w:sz w:val="18"/>
          <w:szCs w:val="18"/>
        </w:rPr>
        <w:t xml:space="preserve">        </w:t>
      </w:r>
      <w:proofErr w:type="spellStart"/>
      <w:r w:rsidRPr="009A0F4F">
        <w:rPr>
          <w:rFonts w:ascii="Tahoma" w:hAnsi="Tahoma"/>
          <w:b/>
          <w:bCs/>
          <w:sz w:val="18"/>
          <w:szCs w:val="18"/>
        </w:rPr>
        <w:t>Wendrio</w:t>
      </w:r>
      <w:proofErr w:type="spellEnd"/>
      <w:r w:rsidRPr="009A0F4F">
        <w:rPr>
          <w:rFonts w:ascii="Tahoma" w:hAnsi="Tahoma"/>
          <w:b/>
          <w:bCs/>
          <w:sz w:val="18"/>
          <w:szCs w:val="18"/>
        </w:rPr>
        <w:t xml:space="preserve"> Fritz Coco                 Leonardo Pitol Toffoli              Leonardo </w:t>
      </w:r>
      <w:proofErr w:type="spellStart"/>
      <w:r w:rsidRPr="009A0F4F">
        <w:rPr>
          <w:rFonts w:ascii="Tahoma" w:hAnsi="Tahoma"/>
          <w:b/>
          <w:bCs/>
          <w:sz w:val="18"/>
          <w:szCs w:val="18"/>
        </w:rPr>
        <w:t>Catrinque</w:t>
      </w:r>
      <w:proofErr w:type="spellEnd"/>
      <w:r w:rsidRPr="009A0F4F">
        <w:rPr>
          <w:rFonts w:ascii="Tahoma" w:hAnsi="Tahoma"/>
          <w:b/>
          <w:bCs/>
          <w:sz w:val="18"/>
          <w:szCs w:val="18"/>
        </w:rPr>
        <w:t xml:space="preserve"> Gomes </w:t>
      </w:r>
    </w:p>
    <w:p w14:paraId="2B2305A0" w14:textId="77777777" w:rsidR="004E020E" w:rsidRPr="009A0F4F" w:rsidRDefault="004E020E" w:rsidP="004E020E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Cs/>
          <w:sz w:val="18"/>
          <w:szCs w:val="18"/>
        </w:rPr>
      </w:pPr>
      <w:r w:rsidRPr="009A0F4F">
        <w:rPr>
          <w:rFonts w:ascii="Tahoma" w:hAnsi="Tahoma"/>
          <w:bCs/>
          <w:sz w:val="18"/>
          <w:szCs w:val="18"/>
        </w:rPr>
        <w:t xml:space="preserve">              Presidente                                  Integrante                                      </w:t>
      </w:r>
      <w:proofErr w:type="spellStart"/>
      <w:r w:rsidRPr="009A0F4F">
        <w:rPr>
          <w:rFonts w:ascii="Tahoma" w:hAnsi="Tahoma"/>
          <w:bCs/>
          <w:sz w:val="18"/>
          <w:szCs w:val="18"/>
        </w:rPr>
        <w:t>Integrante</w:t>
      </w:r>
      <w:proofErr w:type="spellEnd"/>
    </w:p>
    <w:p w14:paraId="799BA017" w14:textId="4BF56063" w:rsidR="004E020E" w:rsidRPr="004E020E" w:rsidRDefault="004E020E" w:rsidP="004E020E">
      <w:pPr>
        <w:spacing w:before="0" w:after="0" w:line="240" w:lineRule="auto"/>
        <w:rPr>
          <w:rFonts w:ascii="Tahoma" w:hAnsi="Tahoma"/>
          <w:bCs/>
          <w:sz w:val="18"/>
          <w:szCs w:val="18"/>
        </w:rPr>
      </w:pPr>
      <w:r w:rsidRPr="009A0F4F">
        <w:rPr>
          <w:rFonts w:ascii="Tahoma" w:hAnsi="Tahoma"/>
          <w:bCs/>
          <w:sz w:val="18"/>
          <w:szCs w:val="18"/>
        </w:rPr>
        <w:t xml:space="preserve">       Portaria nº 0</w:t>
      </w:r>
      <w:r w:rsidR="00A2209C" w:rsidRPr="009A0F4F">
        <w:rPr>
          <w:rFonts w:ascii="Tahoma" w:hAnsi="Tahoma"/>
          <w:bCs/>
          <w:sz w:val="18"/>
          <w:szCs w:val="18"/>
        </w:rPr>
        <w:t>0</w:t>
      </w:r>
      <w:r w:rsidR="008800B5">
        <w:rPr>
          <w:rFonts w:ascii="Tahoma" w:hAnsi="Tahoma"/>
          <w:bCs/>
          <w:sz w:val="18"/>
          <w:szCs w:val="18"/>
        </w:rPr>
        <w:t>3</w:t>
      </w:r>
      <w:r w:rsidRPr="009A0F4F">
        <w:rPr>
          <w:rFonts w:ascii="Tahoma" w:hAnsi="Tahoma"/>
          <w:bCs/>
          <w:sz w:val="18"/>
          <w:szCs w:val="18"/>
        </w:rPr>
        <w:t>/202</w:t>
      </w:r>
      <w:r w:rsidR="00A2209C" w:rsidRPr="009A0F4F">
        <w:rPr>
          <w:rFonts w:ascii="Tahoma" w:hAnsi="Tahoma"/>
          <w:bCs/>
          <w:sz w:val="18"/>
          <w:szCs w:val="18"/>
        </w:rPr>
        <w:t>6</w:t>
      </w:r>
      <w:r w:rsidRPr="009A0F4F">
        <w:rPr>
          <w:rFonts w:ascii="Tahoma" w:hAnsi="Tahoma"/>
          <w:bCs/>
          <w:sz w:val="18"/>
          <w:szCs w:val="18"/>
        </w:rPr>
        <w:t xml:space="preserve">                    Portaria nº 0</w:t>
      </w:r>
      <w:r w:rsidR="00A2209C" w:rsidRPr="009A0F4F">
        <w:rPr>
          <w:rFonts w:ascii="Tahoma" w:hAnsi="Tahoma"/>
          <w:bCs/>
          <w:sz w:val="18"/>
          <w:szCs w:val="18"/>
        </w:rPr>
        <w:t>0</w:t>
      </w:r>
      <w:r w:rsidR="008800B5">
        <w:rPr>
          <w:rFonts w:ascii="Tahoma" w:hAnsi="Tahoma"/>
          <w:bCs/>
          <w:sz w:val="18"/>
          <w:szCs w:val="18"/>
        </w:rPr>
        <w:t>3</w:t>
      </w:r>
      <w:r w:rsidRPr="009A0F4F">
        <w:rPr>
          <w:rFonts w:ascii="Tahoma" w:hAnsi="Tahoma"/>
          <w:bCs/>
          <w:sz w:val="18"/>
          <w:szCs w:val="18"/>
        </w:rPr>
        <w:t>/202</w:t>
      </w:r>
      <w:r w:rsidR="00A2209C" w:rsidRPr="009A0F4F">
        <w:rPr>
          <w:rFonts w:ascii="Tahoma" w:hAnsi="Tahoma"/>
          <w:bCs/>
          <w:sz w:val="18"/>
          <w:szCs w:val="18"/>
        </w:rPr>
        <w:t>6</w:t>
      </w:r>
      <w:r w:rsidRPr="009A0F4F">
        <w:rPr>
          <w:rFonts w:ascii="Tahoma" w:hAnsi="Tahoma"/>
          <w:bCs/>
          <w:sz w:val="18"/>
          <w:szCs w:val="18"/>
        </w:rPr>
        <w:t xml:space="preserve">                      Portaria nº 0</w:t>
      </w:r>
      <w:r w:rsidR="00A2209C" w:rsidRPr="009A0F4F">
        <w:rPr>
          <w:rFonts w:ascii="Tahoma" w:hAnsi="Tahoma"/>
          <w:bCs/>
          <w:sz w:val="18"/>
          <w:szCs w:val="18"/>
        </w:rPr>
        <w:t>0</w:t>
      </w:r>
      <w:r w:rsidR="008800B5">
        <w:rPr>
          <w:rFonts w:ascii="Tahoma" w:hAnsi="Tahoma"/>
          <w:bCs/>
          <w:sz w:val="18"/>
          <w:szCs w:val="18"/>
        </w:rPr>
        <w:t>3</w:t>
      </w:r>
      <w:r w:rsidRPr="009A0F4F">
        <w:rPr>
          <w:rFonts w:ascii="Tahoma" w:hAnsi="Tahoma"/>
          <w:bCs/>
          <w:sz w:val="18"/>
          <w:szCs w:val="18"/>
        </w:rPr>
        <w:t>/202</w:t>
      </w:r>
      <w:r w:rsidR="00A2209C" w:rsidRPr="009A0F4F">
        <w:rPr>
          <w:rFonts w:ascii="Tahoma" w:hAnsi="Tahoma"/>
          <w:bCs/>
          <w:sz w:val="18"/>
          <w:szCs w:val="18"/>
        </w:rPr>
        <w:t>6</w:t>
      </w:r>
    </w:p>
    <w:p w14:paraId="5A48B5D4" w14:textId="77777777" w:rsidR="001D3180" w:rsidRPr="001D3180" w:rsidRDefault="001D3180" w:rsidP="00D731A5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cs="Arial"/>
          <w:sz w:val="40"/>
          <w:szCs w:val="40"/>
        </w:rPr>
      </w:pPr>
    </w:p>
    <w:sectPr w:rsidR="001D3180" w:rsidRPr="001D3180" w:rsidSect="00141DE8">
      <w:headerReference w:type="default" r:id="rId8"/>
      <w:footerReference w:type="default" r:id="rId9"/>
      <w:pgSz w:w="11906" w:h="16838"/>
      <w:pgMar w:top="1420" w:right="1134" w:bottom="1134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02326" w14:textId="77777777" w:rsidR="005100D6" w:rsidRDefault="005100D6" w:rsidP="00E041E2">
      <w:pPr>
        <w:spacing w:before="0" w:after="0" w:line="240" w:lineRule="auto"/>
      </w:pPr>
      <w:r>
        <w:separator/>
      </w:r>
    </w:p>
  </w:endnote>
  <w:endnote w:type="continuationSeparator" w:id="0">
    <w:p w14:paraId="5F0A0D5F" w14:textId="77777777" w:rsidR="005100D6" w:rsidRDefault="005100D6" w:rsidP="00E041E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IDFont+F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6271219"/>
      <w:docPartObj>
        <w:docPartGallery w:val="Page Numbers (Bottom of Page)"/>
        <w:docPartUnique/>
      </w:docPartObj>
    </w:sdtPr>
    <w:sdtEndPr/>
    <w:sdtContent>
      <w:p w14:paraId="575FC003" w14:textId="77777777" w:rsidR="0006010C" w:rsidRDefault="0006010C" w:rsidP="0006010C">
        <w:pPr>
          <w:pStyle w:val="Rodap"/>
          <w:jc w:val="right"/>
        </w:pPr>
      </w:p>
      <w:p w14:paraId="0F560716" w14:textId="77777777" w:rsidR="0006010C" w:rsidRDefault="0006010C" w:rsidP="0006010C">
        <w:pPr>
          <w:pStyle w:val="Rodap"/>
          <w:jc w:val="right"/>
        </w:pPr>
      </w:p>
      <w:p w14:paraId="725AA238" w14:textId="77777777" w:rsidR="0006010C" w:rsidRDefault="0006010C" w:rsidP="0006010C">
        <w:pPr>
          <w:pStyle w:val="Rodap"/>
          <w:jc w:val="right"/>
        </w:pPr>
      </w:p>
      <w:p w14:paraId="1A0E2646" w14:textId="77777777" w:rsidR="0006010C" w:rsidRDefault="0006010C" w:rsidP="0006010C">
        <w:pPr>
          <w:pStyle w:val="Rodap"/>
          <w:jc w:val="right"/>
        </w:pPr>
      </w:p>
      <w:p w14:paraId="2BDEFC82" w14:textId="77777777" w:rsidR="0006010C" w:rsidRDefault="002C4669" w:rsidP="002C4669">
        <w:pPr>
          <w:pStyle w:val="Rodap"/>
          <w:jc w:val="center"/>
        </w:pPr>
        <w:r>
          <w:t xml:space="preserve">Rua Luísa </w:t>
        </w:r>
        <w:proofErr w:type="spellStart"/>
        <w:r>
          <w:t>Gon</w:t>
        </w:r>
        <w:proofErr w:type="spellEnd"/>
        <w:r>
          <w:t xml:space="preserve"> </w:t>
        </w:r>
        <w:proofErr w:type="spellStart"/>
        <w:r>
          <w:t>Pratti</w:t>
        </w:r>
        <w:proofErr w:type="spellEnd"/>
        <w:r>
          <w:t xml:space="preserve">, nº 41 – Fundão/ES – CEP 29185-000 – E-mail: </w:t>
        </w:r>
        <w:r w:rsidRPr="00FF0DFB">
          <w:t>semob@fundao.es.gov.br</w:t>
        </w:r>
        <w:r>
          <w:t xml:space="preserve"> - Telefone: (27) 3267-1593</w:t>
        </w:r>
      </w:p>
      <w:p w14:paraId="2489E018" w14:textId="77777777" w:rsidR="001D7B23" w:rsidRDefault="0006010C">
        <w:pPr>
          <w:pStyle w:val="Rodap"/>
          <w:jc w:val="right"/>
        </w:pPr>
        <w:r>
          <w:t xml:space="preserve"> </w:t>
        </w:r>
        <w:r w:rsidR="001D7B23">
          <w:rPr>
            <w:noProof/>
          </w:rPr>
          <w:fldChar w:fldCharType="begin"/>
        </w:r>
        <w:r w:rsidR="001D7B23">
          <w:rPr>
            <w:noProof/>
          </w:rPr>
          <w:instrText xml:space="preserve"> PAGE   \* MERGEFORMAT </w:instrText>
        </w:r>
        <w:r w:rsidR="001D7B23">
          <w:rPr>
            <w:noProof/>
          </w:rPr>
          <w:fldChar w:fldCharType="separate"/>
        </w:r>
        <w:r w:rsidR="002C04E4">
          <w:rPr>
            <w:noProof/>
          </w:rPr>
          <w:t>4</w:t>
        </w:r>
        <w:r w:rsidR="001D7B23">
          <w:rPr>
            <w:noProof/>
          </w:rPr>
          <w:fldChar w:fldCharType="end"/>
        </w:r>
      </w:p>
    </w:sdtContent>
  </w:sdt>
  <w:p w14:paraId="5866BC87" w14:textId="77777777" w:rsidR="001D7B23" w:rsidRDefault="001D7B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45C56" w14:textId="77777777" w:rsidR="005100D6" w:rsidRDefault="005100D6" w:rsidP="00E041E2">
      <w:pPr>
        <w:spacing w:before="0" w:after="0" w:line="240" w:lineRule="auto"/>
      </w:pPr>
      <w:r>
        <w:separator/>
      </w:r>
    </w:p>
  </w:footnote>
  <w:footnote w:type="continuationSeparator" w:id="0">
    <w:p w14:paraId="6A700DF6" w14:textId="77777777" w:rsidR="005100D6" w:rsidRDefault="005100D6" w:rsidP="00E041E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0B01F" w14:textId="77777777" w:rsidR="001D7B23" w:rsidRDefault="001D7B23" w:rsidP="002C4669">
    <w:pPr>
      <w:spacing w:before="0" w:after="0" w:line="240" w:lineRule="auto"/>
      <w:ind w:left="1276"/>
      <w:jc w:val="left"/>
    </w:pPr>
    <w:r>
      <w:rPr>
        <w:noProof/>
        <w:lang w:eastAsia="pt-BR"/>
      </w:rPr>
      <w:drawing>
        <wp:anchor distT="0" distB="0" distL="0" distR="0" simplePos="0" relativeHeight="2" behindDoc="1" locked="0" layoutInCell="0" allowOverlap="1" wp14:anchorId="5AE7F4DA" wp14:editId="0FA947D5">
          <wp:simplePos x="0" y="0"/>
          <wp:positionH relativeFrom="leftMargin">
            <wp:posOffset>1115060</wp:posOffset>
          </wp:positionH>
          <wp:positionV relativeFrom="paragraph">
            <wp:posOffset>-175895</wp:posOffset>
          </wp:positionV>
          <wp:extent cx="572770" cy="739775"/>
          <wp:effectExtent l="0" t="0" r="0" b="0"/>
          <wp:wrapNone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770" cy="739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PREFEITURA MUNICIPAL DE FUNDÃO</w:t>
    </w:r>
    <w:r>
      <w:rPr>
        <w:szCs w:val="24"/>
      </w:rPr>
      <w:br/>
      <w:t>ESTADO DO ESPÍRITO SANTO</w:t>
    </w:r>
  </w:p>
  <w:p w14:paraId="1BE16C7B" w14:textId="77777777" w:rsidR="001D7B23" w:rsidRDefault="001D7B23" w:rsidP="002C4669">
    <w:pPr>
      <w:pStyle w:val="Ttulo21"/>
      <w:spacing w:line="240" w:lineRule="auto"/>
      <w:ind w:left="1276"/>
      <w:jc w:val="left"/>
    </w:pPr>
    <w:r>
      <w:t>Secretaria Municipal de Obras e Serviços Urbanos</w:t>
    </w:r>
  </w:p>
  <w:p w14:paraId="320B6EA5" w14:textId="77777777" w:rsidR="001D7B23" w:rsidRPr="00141DE8" w:rsidRDefault="001D7B23" w:rsidP="00141DE8">
    <w:pPr>
      <w:spacing w:before="0" w:after="0" w:line="240" w:lineRule="au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8F5D42"/>
    <w:multiLevelType w:val="hybridMultilevel"/>
    <w:tmpl w:val="9C7BEDE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94E5D"/>
    <w:multiLevelType w:val="multilevel"/>
    <w:tmpl w:val="218ED052"/>
    <w:lvl w:ilvl="0">
      <w:start w:val="9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9CD3EC3"/>
    <w:multiLevelType w:val="hybridMultilevel"/>
    <w:tmpl w:val="BDC01796"/>
    <w:lvl w:ilvl="0" w:tplc="A6F69DEA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685A5D"/>
    <w:multiLevelType w:val="multilevel"/>
    <w:tmpl w:val="E80E1F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88206E"/>
    <w:multiLevelType w:val="multilevel"/>
    <w:tmpl w:val="893C6B3C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00F42CC"/>
    <w:multiLevelType w:val="multilevel"/>
    <w:tmpl w:val="7F2A13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1D67AF0"/>
    <w:multiLevelType w:val="hybridMultilevel"/>
    <w:tmpl w:val="9A983114"/>
    <w:lvl w:ilvl="0" w:tplc="28F4951A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20913DC"/>
    <w:multiLevelType w:val="multilevel"/>
    <w:tmpl w:val="3996A1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166D06C3"/>
    <w:multiLevelType w:val="multilevel"/>
    <w:tmpl w:val="443898CA"/>
    <w:lvl w:ilvl="0">
      <w:start w:val="8"/>
      <w:numFmt w:val="decimal"/>
      <w:lvlText w:val="%1"/>
      <w:lvlJc w:val="left"/>
      <w:pPr>
        <w:ind w:left="948" w:hanging="94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8" w:hanging="94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88" w:hanging="948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1A94593C"/>
    <w:multiLevelType w:val="hybridMultilevel"/>
    <w:tmpl w:val="A446A3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219BD"/>
    <w:multiLevelType w:val="hybridMultilevel"/>
    <w:tmpl w:val="EAD6A250"/>
    <w:lvl w:ilvl="0" w:tplc="555E4F40">
      <w:start w:val="1"/>
      <w:numFmt w:val="lowerLetter"/>
      <w:lvlText w:val="%1)"/>
      <w:lvlJc w:val="left"/>
      <w:pPr>
        <w:ind w:left="720" w:hanging="360"/>
      </w:pPr>
      <w:rPr>
        <w:rFonts w:ascii="Arial" w:hAnsi="Arial" w:cs="Tahoma" w:hint="default"/>
        <w:b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45B29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2" w15:restartNumberingAfterBreak="0">
    <w:nsid w:val="26AC5D38"/>
    <w:multiLevelType w:val="multilevel"/>
    <w:tmpl w:val="EB6E6B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E64AD4"/>
    <w:multiLevelType w:val="hybridMultilevel"/>
    <w:tmpl w:val="C5002B4E"/>
    <w:lvl w:ilvl="0" w:tplc="1A9417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75239"/>
    <w:multiLevelType w:val="multilevel"/>
    <w:tmpl w:val="34EEE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89D4F63"/>
    <w:multiLevelType w:val="multilevel"/>
    <w:tmpl w:val="BDB8C358"/>
    <w:lvl w:ilvl="0">
      <w:start w:val="1"/>
      <w:numFmt w:val="bullet"/>
      <w:lvlText w:val=""/>
      <w:lvlJc w:val="righ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DC1032F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7" w15:restartNumberingAfterBreak="0">
    <w:nsid w:val="32C90225"/>
    <w:multiLevelType w:val="multilevel"/>
    <w:tmpl w:val="0E729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335C18F7"/>
    <w:multiLevelType w:val="multilevel"/>
    <w:tmpl w:val="C5BE8370"/>
    <w:lvl w:ilvl="0">
      <w:start w:val="1"/>
      <w:numFmt w:val="bullet"/>
      <w:lvlText w:val=""/>
      <w:lvlJc w:val="left"/>
      <w:pPr>
        <w:tabs>
          <w:tab w:val="num" w:pos="142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</w:lvl>
    <w:lvl w:ilvl="3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>
      <w:start w:val="1"/>
      <w:numFmt w:val="decimal"/>
      <w:lvlText w:val="%5."/>
      <w:lvlJc w:val="left"/>
      <w:pPr>
        <w:tabs>
          <w:tab w:val="num" w:pos="2302"/>
        </w:tabs>
        <w:ind w:left="2302" w:hanging="360"/>
      </w:pPr>
    </w:lvl>
    <w:lvl w:ilvl="5">
      <w:start w:val="1"/>
      <w:numFmt w:val="decimal"/>
      <w:lvlText w:val="%6."/>
      <w:lvlJc w:val="left"/>
      <w:pPr>
        <w:tabs>
          <w:tab w:val="num" w:pos="2662"/>
        </w:tabs>
        <w:ind w:left="2662" w:hanging="360"/>
      </w:pPr>
    </w:lvl>
    <w:lvl w:ilvl="6">
      <w:start w:val="1"/>
      <w:numFmt w:val="decimal"/>
      <w:lvlText w:val="%7."/>
      <w:lvlJc w:val="left"/>
      <w:pPr>
        <w:tabs>
          <w:tab w:val="num" w:pos="3022"/>
        </w:tabs>
        <w:ind w:left="3022" w:hanging="360"/>
      </w:pPr>
    </w:lvl>
    <w:lvl w:ilvl="7">
      <w:start w:val="1"/>
      <w:numFmt w:val="decimal"/>
      <w:lvlText w:val="%8."/>
      <w:lvlJc w:val="left"/>
      <w:pPr>
        <w:tabs>
          <w:tab w:val="num" w:pos="3382"/>
        </w:tabs>
        <w:ind w:left="3382" w:hanging="360"/>
      </w:pPr>
    </w:lvl>
    <w:lvl w:ilvl="8">
      <w:start w:val="1"/>
      <w:numFmt w:val="decimal"/>
      <w:lvlText w:val="%9."/>
      <w:lvlJc w:val="left"/>
      <w:pPr>
        <w:tabs>
          <w:tab w:val="num" w:pos="3742"/>
        </w:tabs>
        <w:ind w:left="3742" w:hanging="360"/>
      </w:pPr>
    </w:lvl>
  </w:abstractNum>
  <w:abstractNum w:abstractNumId="19" w15:restartNumberingAfterBreak="0">
    <w:nsid w:val="35094BB4"/>
    <w:multiLevelType w:val="hybridMultilevel"/>
    <w:tmpl w:val="8A5C5CCA"/>
    <w:lvl w:ilvl="0" w:tplc="FCCCDCA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2102F"/>
    <w:multiLevelType w:val="multilevel"/>
    <w:tmpl w:val="06D8C5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BA08CC"/>
    <w:multiLevelType w:val="multilevel"/>
    <w:tmpl w:val="724AF5B4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63E0E17"/>
    <w:multiLevelType w:val="hybridMultilevel"/>
    <w:tmpl w:val="90185C88"/>
    <w:lvl w:ilvl="0" w:tplc="A3F439D8">
      <w:start w:val="1"/>
      <w:numFmt w:val="lowerLetter"/>
      <w:pStyle w:val="item1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A321CE7"/>
    <w:multiLevelType w:val="multilevel"/>
    <w:tmpl w:val="21F89890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2.%3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3.%4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4.%5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5.%6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6.%7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7.%8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8.%9"/>
      <w:lvlJc w:val="left"/>
      <w:pPr>
        <w:tabs>
          <w:tab w:val="num" w:pos="4320"/>
        </w:tabs>
        <w:ind w:left="4320" w:hanging="360"/>
      </w:pPr>
    </w:lvl>
  </w:abstractNum>
  <w:abstractNum w:abstractNumId="24" w15:restartNumberingAfterBreak="0">
    <w:nsid w:val="506D3B28"/>
    <w:multiLevelType w:val="multilevel"/>
    <w:tmpl w:val="F048B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39A757E"/>
    <w:multiLevelType w:val="hybridMultilevel"/>
    <w:tmpl w:val="A01E2A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C31CD"/>
    <w:multiLevelType w:val="multilevel"/>
    <w:tmpl w:val="AB22AC2E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B8A0C0F"/>
    <w:multiLevelType w:val="multilevel"/>
    <w:tmpl w:val="B3F06E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0D21E28"/>
    <w:multiLevelType w:val="hybridMultilevel"/>
    <w:tmpl w:val="435215CC"/>
    <w:lvl w:ilvl="0" w:tplc="5184B172">
      <w:start w:val="1"/>
      <w:numFmt w:val="decimal"/>
      <w:pStyle w:val="TtulodaTabela"/>
      <w:lvlText w:val="TABELA %1 - "/>
      <w:lvlJc w:val="left"/>
      <w:pPr>
        <w:tabs>
          <w:tab w:val="num" w:pos="0"/>
        </w:tabs>
        <w:ind w:left="1338" w:hanging="1338"/>
      </w:pPr>
      <w:rPr>
        <w:rFonts w:cs="Times New Roman" w:hint="default"/>
      </w:rPr>
    </w:lvl>
    <w:lvl w:ilvl="1" w:tplc="D54ECF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6E4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5DC17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DC68B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4B4AB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558C5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2822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2B61B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182DC2"/>
    <w:multiLevelType w:val="hybridMultilevel"/>
    <w:tmpl w:val="FDB0EECC"/>
    <w:lvl w:ilvl="0" w:tplc="C50626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7865D6"/>
    <w:multiLevelType w:val="multilevel"/>
    <w:tmpl w:val="1BD2A8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79E6B67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32" w15:restartNumberingAfterBreak="0">
    <w:nsid w:val="67ED333E"/>
    <w:multiLevelType w:val="multilevel"/>
    <w:tmpl w:val="1576CBC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3" w15:restartNumberingAfterBreak="0">
    <w:nsid w:val="724A48D4"/>
    <w:multiLevelType w:val="hybridMultilevel"/>
    <w:tmpl w:val="F9DE3C2C"/>
    <w:lvl w:ilvl="0" w:tplc="ACD4E0F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B742C2"/>
    <w:multiLevelType w:val="hybridMultilevel"/>
    <w:tmpl w:val="BA96971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66311E5"/>
    <w:multiLevelType w:val="hybridMultilevel"/>
    <w:tmpl w:val="4202B352"/>
    <w:lvl w:ilvl="0" w:tplc="003C717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45E72"/>
    <w:multiLevelType w:val="multilevel"/>
    <w:tmpl w:val="2FFE6A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num w:numId="1" w16cid:durableId="2060472302">
    <w:abstractNumId w:val="24"/>
  </w:num>
  <w:num w:numId="2" w16cid:durableId="704059029">
    <w:abstractNumId w:val="3"/>
  </w:num>
  <w:num w:numId="3" w16cid:durableId="1405756159">
    <w:abstractNumId w:val="20"/>
  </w:num>
  <w:num w:numId="4" w16cid:durableId="41250459">
    <w:abstractNumId w:val="15"/>
  </w:num>
  <w:num w:numId="5" w16cid:durableId="364254775">
    <w:abstractNumId w:val="23"/>
  </w:num>
  <w:num w:numId="6" w16cid:durableId="1688559274">
    <w:abstractNumId w:val="14"/>
  </w:num>
  <w:num w:numId="7" w16cid:durableId="277762291">
    <w:abstractNumId w:val="36"/>
  </w:num>
  <w:num w:numId="8" w16cid:durableId="480125748">
    <w:abstractNumId w:val="7"/>
  </w:num>
  <w:num w:numId="9" w16cid:durableId="347829610">
    <w:abstractNumId w:val="17"/>
  </w:num>
  <w:num w:numId="10" w16cid:durableId="112675158">
    <w:abstractNumId w:val="18"/>
  </w:num>
  <w:num w:numId="11" w16cid:durableId="702246180">
    <w:abstractNumId w:val="11"/>
  </w:num>
  <w:num w:numId="12" w16cid:durableId="45762643">
    <w:abstractNumId w:val="16"/>
  </w:num>
  <w:num w:numId="13" w16cid:durableId="381485134">
    <w:abstractNumId w:val="31"/>
  </w:num>
  <w:num w:numId="14" w16cid:durableId="67464741">
    <w:abstractNumId w:val="30"/>
  </w:num>
  <w:num w:numId="15" w16cid:durableId="542981098">
    <w:abstractNumId w:val="28"/>
  </w:num>
  <w:num w:numId="16" w16cid:durableId="2083093385">
    <w:abstractNumId w:val="34"/>
  </w:num>
  <w:num w:numId="17" w16cid:durableId="1186213494">
    <w:abstractNumId w:val="22"/>
  </w:num>
  <w:num w:numId="18" w16cid:durableId="1991901456">
    <w:abstractNumId w:val="4"/>
  </w:num>
  <w:num w:numId="19" w16cid:durableId="1855342180">
    <w:abstractNumId w:val="12"/>
  </w:num>
  <w:num w:numId="20" w16cid:durableId="217515995">
    <w:abstractNumId w:val="27"/>
  </w:num>
  <w:num w:numId="21" w16cid:durableId="101607974">
    <w:abstractNumId w:val="35"/>
  </w:num>
  <w:num w:numId="22" w16cid:durableId="1876692491">
    <w:abstractNumId w:val="13"/>
  </w:num>
  <w:num w:numId="23" w16cid:durableId="552159029">
    <w:abstractNumId w:val="25"/>
  </w:num>
  <w:num w:numId="24" w16cid:durableId="2111120443">
    <w:abstractNumId w:val="6"/>
  </w:num>
  <w:num w:numId="25" w16cid:durableId="1620330012">
    <w:abstractNumId w:val="19"/>
  </w:num>
  <w:num w:numId="26" w16cid:durableId="364793264">
    <w:abstractNumId w:val="33"/>
  </w:num>
  <w:num w:numId="27" w16cid:durableId="911502373">
    <w:abstractNumId w:val="9"/>
  </w:num>
  <w:num w:numId="28" w16cid:durableId="557130270">
    <w:abstractNumId w:val="8"/>
  </w:num>
  <w:num w:numId="29" w16cid:durableId="44958956">
    <w:abstractNumId w:val="5"/>
  </w:num>
  <w:num w:numId="30" w16cid:durableId="392238062">
    <w:abstractNumId w:val="1"/>
  </w:num>
  <w:num w:numId="31" w16cid:durableId="2001959645">
    <w:abstractNumId w:val="2"/>
  </w:num>
  <w:num w:numId="32" w16cid:durableId="420297360">
    <w:abstractNumId w:val="32"/>
  </w:num>
  <w:num w:numId="33" w16cid:durableId="1108354125">
    <w:abstractNumId w:val="29"/>
  </w:num>
  <w:num w:numId="34" w16cid:durableId="2086144050">
    <w:abstractNumId w:val="10"/>
  </w:num>
  <w:num w:numId="35" w16cid:durableId="1070693934">
    <w:abstractNumId w:val="21"/>
  </w:num>
  <w:num w:numId="36" w16cid:durableId="828137511">
    <w:abstractNumId w:val="26"/>
  </w:num>
  <w:num w:numId="37" w16cid:durableId="1709407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E2"/>
    <w:rsid w:val="000001A3"/>
    <w:rsid w:val="00000DE1"/>
    <w:rsid w:val="00001E9B"/>
    <w:rsid w:val="000203E4"/>
    <w:rsid w:val="00041ACC"/>
    <w:rsid w:val="0006010C"/>
    <w:rsid w:val="00066B18"/>
    <w:rsid w:val="00075EF8"/>
    <w:rsid w:val="00095527"/>
    <w:rsid w:val="000A285A"/>
    <w:rsid w:val="000A3A77"/>
    <w:rsid w:val="000A557C"/>
    <w:rsid w:val="000B1883"/>
    <w:rsid w:val="000C0E67"/>
    <w:rsid w:val="000E3BF6"/>
    <w:rsid w:val="000F6512"/>
    <w:rsid w:val="001060DC"/>
    <w:rsid w:val="0011247C"/>
    <w:rsid w:val="00120371"/>
    <w:rsid w:val="00121719"/>
    <w:rsid w:val="00141DE8"/>
    <w:rsid w:val="00143A5D"/>
    <w:rsid w:val="001447B0"/>
    <w:rsid w:val="00162682"/>
    <w:rsid w:val="00186971"/>
    <w:rsid w:val="0019570E"/>
    <w:rsid w:val="001A30CF"/>
    <w:rsid w:val="001A3FDB"/>
    <w:rsid w:val="001A5088"/>
    <w:rsid w:val="001B5813"/>
    <w:rsid w:val="001D3180"/>
    <w:rsid w:val="001D7B23"/>
    <w:rsid w:val="001E7C75"/>
    <w:rsid w:val="001F36F4"/>
    <w:rsid w:val="00211DAD"/>
    <w:rsid w:val="00225881"/>
    <w:rsid w:val="00225B99"/>
    <w:rsid w:val="00251E74"/>
    <w:rsid w:val="0025520D"/>
    <w:rsid w:val="002754F0"/>
    <w:rsid w:val="00287063"/>
    <w:rsid w:val="002943E6"/>
    <w:rsid w:val="00294B7C"/>
    <w:rsid w:val="002A07B1"/>
    <w:rsid w:val="002A1B21"/>
    <w:rsid w:val="002A549B"/>
    <w:rsid w:val="002B0BB4"/>
    <w:rsid w:val="002B4E1C"/>
    <w:rsid w:val="002B6AAE"/>
    <w:rsid w:val="002B728A"/>
    <w:rsid w:val="002C04E4"/>
    <w:rsid w:val="002C4669"/>
    <w:rsid w:val="002E05C2"/>
    <w:rsid w:val="002E72B6"/>
    <w:rsid w:val="002F3C04"/>
    <w:rsid w:val="003061AB"/>
    <w:rsid w:val="003146CB"/>
    <w:rsid w:val="00314ADC"/>
    <w:rsid w:val="00314BF9"/>
    <w:rsid w:val="00314EA8"/>
    <w:rsid w:val="00317BA1"/>
    <w:rsid w:val="0035118D"/>
    <w:rsid w:val="00364F8F"/>
    <w:rsid w:val="0037217C"/>
    <w:rsid w:val="003939EB"/>
    <w:rsid w:val="003A48B0"/>
    <w:rsid w:val="003B0B3C"/>
    <w:rsid w:val="003D4A5D"/>
    <w:rsid w:val="003E12DB"/>
    <w:rsid w:val="003E3D10"/>
    <w:rsid w:val="003E4C56"/>
    <w:rsid w:val="00400DC4"/>
    <w:rsid w:val="00415709"/>
    <w:rsid w:val="00422210"/>
    <w:rsid w:val="00461B7E"/>
    <w:rsid w:val="00463C01"/>
    <w:rsid w:val="00484C8B"/>
    <w:rsid w:val="00490F78"/>
    <w:rsid w:val="00492A4C"/>
    <w:rsid w:val="0049327B"/>
    <w:rsid w:val="00493A32"/>
    <w:rsid w:val="004C14A8"/>
    <w:rsid w:val="004C3BFF"/>
    <w:rsid w:val="004C7D31"/>
    <w:rsid w:val="004E020E"/>
    <w:rsid w:val="005100D6"/>
    <w:rsid w:val="005270C5"/>
    <w:rsid w:val="00542B51"/>
    <w:rsid w:val="00547C8B"/>
    <w:rsid w:val="00550306"/>
    <w:rsid w:val="00554A75"/>
    <w:rsid w:val="0056116A"/>
    <w:rsid w:val="00564940"/>
    <w:rsid w:val="005B45FE"/>
    <w:rsid w:val="005B5779"/>
    <w:rsid w:val="005B6CA4"/>
    <w:rsid w:val="005C26E5"/>
    <w:rsid w:val="005C4887"/>
    <w:rsid w:val="005E2E28"/>
    <w:rsid w:val="005E52E8"/>
    <w:rsid w:val="00605267"/>
    <w:rsid w:val="00614E81"/>
    <w:rsid w:val="00633CF3"/>
    <w:rsid w:val="00644605"/>
    <w:rsid w:val="00652572"/>
    <w:rsid w:val="00655C35"/>
    <w:rsid w:val="006657DB"/>
    <w:rsid w:val="00667739"/>
    <w:rsid w:val="00673EC7"/>
    <w:rsid w:val="00676A74"/>
    <w:rsid w:val="006847DD"/>
    <w:rsid w:val="00697830"/>
    <w:rsid w:val="006A7B58"/>
    <w:rsid w:val="006B0723"/>
    <w:rsid w:val="006D3593"/>
    <w:rsid w:val="006E4FFF"/>
    <w:rsid w:val="006E6248"/>
    <w:rsid w:val="006F64C2"/>
    <w:rsid w:val="00720C41"/>
    <w:rsid w:val="00727289"/>
    <w:rsid w:val="0073534F"/>
    <w:rsid w:val="00742882"/>
    <w:rsid w:val="00761CDE"/>
    <w:rsid w:val="00771306"/>
    <w:rsid w:val="007C06FD"/>
    <w:rsid w:val="007D2849"/>
    <w:rsid w:val="007D62A8"/>
    <w:rsid w:val="007E1072"/>
    <w:rsid w:val="007E1747"/>
    <w:rsid w:val="007F04BA"/>
    <w:rsid w:val="00820160"/>
    <w:rsid w:val="00824D4A"/>
    <w:rsid w:val="00836C2D"/>
    <w:rsid w:val="008473CD"/>
    <w:rsid w:val="00850313"/>
    <w:rsid w:val="00851E1D"/>
    <w:rsid w:val="0085507B"/>
    <w:rsid w:val="00856EB7"/>
    <w:rsid w:val="008579CA"/>
    <w:rsid w:val="00863E13"/>
    <w:rsid w:val="00865BB9"/>
    <w:rsid w:val="00867A5B"/>
    <w:rsid w:val="008800B5"/>
    <w:rsid w:val="00897343"/>
    <w:rsid w:val="008A42CB"/>
    <w:rsid w:val="008B1274"/>
    <w:rsid w:val="008B1C8A"/>
    <w:rsid w:val="008B3883"/>
    <w:rsid w:val="008B7A0A"/>
    <w:rsid w:val="008C0D36"/>
    <w:rsid w:val="008D22CF"/>
    <w:rsid w:val="008F2BCE"/>
    <w:rsid w:val="00915D6C"/>
    <w:rsid w:val="00920F7C"/>
    <w:rsid w:val="00921D15"/>
    <w:rsid w:val="009272A4"/>
    <w:rsid w:val="00934C57"/>
    <w:rsid w:val="00934EEF"/>
    <w:rsid w:val="009351B4"/>
    <w:rsid w:val="009454E4"/>
    <w:rsid w:val="009523C4"/>
    <w:rsid w:val="00952449"/>
    <w:rsid w:val="00954824"/>
    <w:rsid w:val="00967782"/>
    <w:rsid w:val="00971D30"/>
    <w:rsid w:val="009815AE"/>
    <w:rsid w:val="009A0F4F"/>
    <w:rsid w:val="009A6678"/>
    <w:rsid w:val="009B7AAE"/>
    <w:rsid w:val="009D445B"/>
    <w:rsid w:val="009E1F54"/>
    <w:rsid w:val="00A207FD"/>
    <w:rsid w:val="00A2209C"/>
    <w:rsid w:val="00A23BD2"/>
    <w:rsid w:val="00A35614"/>
    <w:rsid w:val="00A61C02"/>
    <w:rsid w:val="00A62358"/>
    <w:rsid w:val="00A80D05"/>
    <w:rsid w:val="00A8680D"/>
    <w:rsid w:val="00A91142"/>
    <w:rsid w:val="00A942E7"/>
    <w:rsid w:val="00A9577B"/>
    <w:rsid w:val="00AA0082"/>
    <w:rsid w:val="00AA319C"/>
    <w:rsid w:val="00AD637D"/>
    <w:rsid w:val="00AE59B8"/>
    <w:rsid w:val="00AE727C"/>
    <w:rsid w:val="00AE7BE1"/>
    <w:rsid w:val="00AF15FB"/>
    <w:rsid w:val="00AF5B63"/>
    <w:rsid w:val="00B0587B"/>
    <w:rsid w:val="00B05A16"/>
    <w:rsid w:val="00B11F83"/>
    <w:rsid w:val="00B4076E"/>
    <w:rsid w:val="00B411F0"/>
    <w:rsid w:val="00B74EE4"/>
    <w:rsid w:val="00B83DD0"/>
    <w:rsid w:val="00B95F2C"/>
    <w:rsid w:val="00BA458A"/>
    <w:rsid w:val="00BA45B7"/>
    <w:rsid w:val="00BB3824"/>
    <w:rsid w:val="00BC25E3"/>
    <w:rsid w:val="00BE07E3"/>
    <w:rsid w:val="00BE34A0"/>
    <w:rsid w:val="00BE3AA4"/>
    <w:rsid w:val="00BE5A7C"/>
    <w:rsid w:val="00BE6482"/>
    <w:rsid w:val="00C0589B"/>
    <w:rsid w:val="00C06170"/>
    <w:rsid w:val="00C06219"/>
    <w:rsid w:val="00C13967"/>
    <w:rsid w:val="00C14E01"/>
    <w:rsid w:val="00C2292C"/>
    <w:rsid w:val="00C35BE9"/>
    <w:rsid w:val="00C67218"/>
    <w:rsid w:val="00C7065B"/>
    <w:rsid w:val="00C7629F"/>
    <w:rsid w:val="00C77497"/>
    <w:rsid w:val="00C93B32"/>
    <w:rsid w:val="00CA1176"/>
    <w:rsid w:val="00CA1AFA"/>
    <w:rsid w:val="00CB087F"/>
    <w:rsid w:val="00CB3D06"/>
    <w:rsid w:val="00CB4CDC"/>
    <w:rsid w:val="00CC0FC7"/>
    <w:rsid w:val="00CC49F2"/>
    <w:rsid w:val="00D1029A"/>
    <w:rsid w:val="00D11C10"/>
    <w:rsid w:val="00D12022"/>
    <w:rsid w:val="00D25058"/>
    <w:rsid w:val="00D26831"/>
    <w:rsid w:val="00D30530"/>
    <w:rsid w:val="00D330F9"/>
    <w:rsid w:val="00D34656"/>
    <w:rsid w:val="00D34AC2"/>
    <w:rsid w:val="00D42C89"/>
    <w:rsid w:val="00D45440"/>
    <w:rsid w:val="00D45E0D"/>
    <w:rsid w:val="00D56B1E"/>
    <w:rsid w:val="00D61768"/>
    <w:rsid w:val="00D64BA8"/>
    <w:rsid w:val="00D66D63"/>
    <w:rsid w:val="00D731A5"/>
    <w:rsid w:val="00D8313C"/>
    <w:rsid w:val="00D9206E"/>
    <w:rsid w:val="00D93E05"/>
    <w:rsid w:val="00D9465F"/>
    <w:rsid w:val="00DA1F40"/>
    <w:rsid w:val="00DA334A"/>
    <w:rsid w:val="00DB40C4"/>
    <w:rsid w:val="00DB54D2"/>
    <w:rsid w:val="00DC5278"/>
    <w:rsid w:val="00DC758C"/>
    <w:rsid w:val="00DE27BE"/>
    <w:rsid w:val="00DE633C"/>
    <w:rsid w:val="00DF07EE"/>
    <w:rsid w:val="00E041E2"/>
    <w:rsid w:val="00E151AF"/>
    <w:rsid w:val="00E16A1B"/>
    <w:rsid w:val="00E218AE"/>
    <w:rsid w:val="00E32083"/>
    <w:rsid w:val="00E32C01"/>
    <w:rsid w:val="00E34B21"/>
    <w:rsid w:val="00E40D87"/>
    <w:rsid w:val="00E57B15"/>
    <w:rsid w:val="00E6108C"/>
    <w:rsid w:val="00E722EA"/>
    <w:rsid w:val="00E84E79"/>
    <w:rsid w:val="00E91BA5"/>
    <w:rsid w:val="00E959A2"/>
    <w:rsid w:val="00EA0096"/>
    <w:rsid w:val="00EA0FF2"/>
    <w:rsid w:val="00EA40A2"/>
    <w:rsid w:val="00EA644C"/>
    <w:rsid w:val="00EA7C47"/>
    <w:rsid w:val="00EB5A9A"/>
    <w:rsid w:val="00EB5C55"/>
    <w:rsid w:val="00ED2913"/>
    <w:rsid w:val="00EE04FA"/>
    <w:rsid w:val="00EE0924"/>
    <w:rsid w:val="00EE748F"/>
    <w:rsid w:val="00F00829"/>
    <w:rsid w:val="00F11089"/>
    <w:rsid w:val="00F12A87"/>
    <w:rsid w:val="00F20897"/>
    <w:rsid w:val="00F252DA"/>
    <w:rsid w:val="00F264AA"/>
    <w:rsid w:val="00F46348"/>
    <w:rsid w:val="00F56706"/>
    <w:rsid w:val="00F63AE6"/>
    <w:rsid w:val="00F67DA2"/>
    <w:rsid w:val="00F71D1C"/>
    <w:rsid w:val="00F87426"/>
    <w:rsid w:val="00F97FA0"/>
    <w:rsid w:val="00FA0008"/>
    <w:rsid w:val="00FA578E"/>
    <w:rsid w:val="00FB256E"/>
    <w:rsid w:val="00FD1A9E"/>
    <w:rsid w:val="00FD7885"/>
    <w:rsid w:val="00FE08AE"/>
    <w:rsid w:val="00FF0DFB"/>
    <w:rsid w:val="00FF1D8A"/>
    <w:rsid w:val="00FF3C00"/>
    <w:rsid w:val="00FF473F"/>
    <w:rsid w:val="00FF4F30"/>
    <w:rsid w:val="00FF5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AB46B00"/>
  <w15:docId w15:val="{E8804096-0EE6-4F1C-BE6F-F20C53D4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1A5"/>
    <w:pPr>
      <w:spacing w:before="240" w:after="240"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1"/>
    <w:uiPriority w:val="9"/>
    <w:qFormat/>
    <w:rsid w:val="00824D4A"/>
    <w:pPr>
      <w:keepNext/>
      <w:keepLines/>
      <w:spacing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link w:val="Ttulo2Char1"/>
    <w:qFormat/>
    <w:rsid w:val="00FF1D8A"/>
    <w:pPr>
      <w:widowControl w:val="0"/>
      <w:spacing w:before="56" w:after="0" w:line="240" w:lineRule="auto"/>
      <w:ind w:left="718"/>
      <w:jc w:val="left"/>
      <w:outlineLvl w:val="1"/>
    </w:pPr>
    <w:rPr>
      <w:rFonts w:ascii="Calibri" w:hAnsi="Calibri" w:cs="Calibri"/>
      <w:b/>
      <w:bCs/>
      <w:sz w:val="22"/>
      <w:lang w:val="pt-PT"/>
    </w:rPr>
  </w:style>
  <w:style w:type="paragraph" w:styleId="Ttulo3">
    <w:name w:val="heading 3"/>
    <w:basedOn w:val="Normal"/>
    <w:link w:val="Ttulo3Char"/>
    <w:qFormat/>
    <w:rsid w:val="00FF1D8A"/>
    <w:pPr>
      <w:widowControl w:val="0"/>
      <w:spacing w:before="0" w:after="0" w:line="240" w:lineRule="auto"/>
      <w:ind w:left="862" w:hanging="361"/>
      <w:jc w:val="left"/>
      <w:outlineLvl w:val="2"/>
    </w:pPr>
    <w:rPr>
      <w:rFonts w:ascii="Calibri" w:hAnsi="Calibri" w:cs="Calibri"/>
      <w:b/>
      <w:bCs/>
      <w:i/>
      <w:sz w:val="22"/>
      <w:lang w:val="pt-PT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1D8A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E041E2"/>
    <w:pPr>
      <w:keepNext/>
      <w:keepLines/>
      <w:spacing w:before="120" w:after="120"/>
      <w:outlineLvl w:val="0"/>
    </w:pPr>
    <w:rPr>
      <w:b/>
      <w:szCs w:val="32"/>
    </w:rPr>
  </w:style>
  <w:style w:type="paragraph" w:customStyle="1" w:styleId="Ttulo21">
    <w:name w:val="Título 21"/>
    <w:basedOn w:val="Normal"/>
    <w:next w:val="Normal"/>
    <w:qFormat/>
    <w:rsid w:val="00E041E2"/>
    <w:pPr>
      <w:keepNext/>
      <w:keepLines/>
      <w:spacing w:before="0" w:after="0"/>
      <w:outlineLvl w:val="1"/>
    </w:pPr>
    <w:rPr>
      <w:szCs w:val="26"/>
    </w:rPr>
  </w:style>
  <w:style w:type="paragraph" w:customStyle="1" w:styleId="Ttulo31">
    <w:name w:val="Título 31"/>
    <w:basedOn w:val="Ttulo"/>
    <w:next w:val="Corpodetexto"/>
    <w:qFormat/>
    <w:rsid w:val="00E041E2"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customStyle="1" w:styleId="CabealhoChar">
    <w:name w:val="Cabeçalho Char"/>
    <w:basedOn w:val="Fontepargpadro"/>
    <w:uiPriority w:val="99"/>
    <w:qFormat/>
    <w:rsid w:val="00E041E2"/>
  </w:style>
  <w:style w:type="character" w:customStyle="1" w:styleId="RodapChar">
    <w:name w:val="Rodapé Char"/>
    <w:basedOn w:val="Fontepargpadro"/>
    <w:uiPriority w:val="99"/>
    <w:qFormat/>
    <w:rsid w:val="00E041E2"/>
  </w:style>
  <w:style w:type="character" w:customStyle="1" w:styleId="TextodebaloChar">
    <w:name w:val="Texto de balão Char"/>
    <w:basedOn w:val="Fontepargpadro"/>
    <w:qFormat/>
    <w:rsid w:val="00E041E2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qFormat/>
    <w:rsid w:val="00E041E2"/>
    <w:rPr>
      <w:rFonts w:ascii="Arial" w:eastAsia="Calibri" w:hAnsi="Arial" w:cs="Tahoma"/>
      <w:b/>
      <w:sz w:val="24"/>
      <w:szCs w:val="32"/>
    </w:rPr>
  </w:style>
  <w:style w:type="character" w:customStyle="1" w:styleId="Ttulo2Char">
    <w:name w:val="Título 2 Char"/>
    <w:basedOn w:val="Fontepargpadro"/>
    <w:qFormat/>
    <w:rsid w:val="00E041E2"/>
    <w:rPr>
      <w:rFonts w:ascii="Arial" w:eastAsia="Calibri" w:hAnsi="Arial" w:cs="Tahoma"/>
      <w:sz w:val="24"/>
      <w:szCs w:val="26"/>
    </w:rPr>
  </w:style>
  <w:style w:type="character" w:customStyle="1" w:styleId="TtuloChar">
    <w:name w:val="Título Char"/>
    <w:basedOn w:val="Fontepargpadro"/>
    <w:qFormat/>
    <w:rsid w:val="00E041E2"/>
    <w:rPr>
      <w:rFonts w:ascii="Calibri Light" w:eastAsia="Calibri" w:hAnsi="Calibri Light" w:cs="Tahoma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qFormat/>
    <w:rsid w:val="00E041E2"/>
    <w:rPr>
      <w:rFonts w:ascii="Arial" w:eastAsia="Calibri" w:hAnsi="Arial"/>
      <w:spacing w:val="15"/>
      <w:sz w:val="20"/>
    </w:rPr>
  </w:style>
  <w:style w:type="character" w:customStyle="1" w:styleId="LinkdaInternet">
    <w:name w:val="Link da Internet"/>
    <w:basedOn w:val="Fontepargpadro"/>
    <w:rsid w:val="00E041E2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qFormat/>
    <w:rsid w:val="00E041E2"/>
    <w:rPr>
      <w:rFonts w:ascii="Courier New" w:eastAsia="MS Mincho" w:hAnsi="Courier New" w:cs="Times New Roman"/>
      <w:sz w:val="20"/>
      <w:szCs w:val="20"/>
      <w:lang w:eastAsia="pt-BR"/>
    </w:rPr>
  </w:style>
  <w:style w:type="character" w:styleId="Forte">
    <w:name w:val="Strong"/>
    <w:basedOn w:val="Fontepargpadro"/>
    <w:qFormat/>
    <w:rsid w:val="00E041E2"/>
    <w:rPr>
      <w:b/>
      <w:bCs/>
    </w:rPr>
  </w:style>
  <w:style w:type="character" w:customStyle="1" w:styleId="Smbolosdenumerao">
    <w:name w:val="Símbolos de numeração"/>
    <w:qFormat/>
    <w:rsid w:val="00E041E2"/>
  </w:style>
  <w:style w:type="character" w:customStyle="1" w:styleId="Marcas">
    <w:name w:val="Marcas"/>
    <w:qFormat/>
    <w:rsid w:val="00E041E2"/>
    <w:rPr>
      <w:rFonts w:ascii="OpenSymbol" w:eastAsia="OpenSymbol" w:hAnsi="OpenSymbol" w:cs="OpenSymbol"/>
    </w:rPr>
  </w:style>
  <w:style w:type="character" w:customStyle="1" w:styleId="nfaseforte">
    <w:name w:val="Ênfase forte"/>
    <w:qFormat/>
    <w:rsid w:val="00E041E2"/>
    <w:rPr>
      <w:b/>
      <w:bCs/>
    </w:rPr>
  </w:style>
  <w:style w:type="paragraph" w:styleId="Ttulo">
    <w:name w:val="Title"/>
    <w:basedOn w:val="Normal"/>
    <w:next w:val="Corpodetexto"/>
    <w:qFormat/>
    <w:rsid w:val="00E041E2"/>
    <w:pPr>
      <w:spacing w:before="0" w:after="0" w:line="240" w:lineRule="auto"/>
      <w:contextualSpacing/>
    </w:pPr>
    <w:rPr>
      <w:rFonts w:ascii="Calibri Light" w:hAnsi="Calibri Light"/>
      <w:spacing w:val="-10"/>
      <w:kern w:val="2"/>
      <w:sz w:val="56"/>
      <w:szCs w:val="56"/>
    </w:rPr>
  </w:style>
  <w:style w:type="paragraph" w:styleId="Corpodetexto">
    <w:name w:val="Body Text"/>
    <w:basedOn w:val="Normal"/>
    <w:rsid w:val="00E041E2"/>
    <w:pPr>
      <w:spacing w:before="0" w:after="140" w:line="276" w:lineRule="auto"/>
    </w:pPr>
  </w:style>
  <w:style w:type="paragraph" w:styleId="Lista">
    <w:name w:val="List"/>
    <w:basedOn w:val="Corpodetexto"/>
    <w:rsid w:val="00E041E2"/>
    <w:rPr>
      <w:rFonts w:cs="Mangal"/>
    </w:rPr>
  </w:style>
  <w:style w:type="paragraph" w:customStyle="1" w:styleId="Legenda1">
    <w:name w:val="Legenda1"/>
    <w:basedOn w:val="Normal"/>
    <w:qFormat/>
    <w:rsid w:val="00E041E2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qFormat/>
    <w:rsid w:val="00E041E2"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  <w:rsid w:val="00E041E2"/>
  </w:style>
  <w:style w:type="paragraph" w:customStyle="1" w:styleId="Cabealho1">
    <w:name w:val="Cabeçalho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Rodap1">
    <w:name w:val="Rodapé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styleId="SemEspaamento">
    <w:name w:val="No Spacing"/>
    <w:qFormat/>
    <w:rsid w:val="00E041E2"/>
    <w:pPr>
      <w:tabs>
        <w:tab w:val="num" w:pos="0"/>
      </w:tabs>
      <w:spacing w:line="360" w:lineRule="auto"/>
      <w:ind w:left="720" w:hanging="360"/>
      <w:jc w:val="both"/>
    </w:pPr>
    <w:rPr>
      <w:rFonts w:ascii="Arial" w:hAnsi="Arial"/>
      <w:sz w:val="24"/>
    </w:rPr>
  </w:style>
  <w:style w:type="paragraph" w:styleId="PargrafodaLista">
    <w:name w:val="List Paragraph"/>
    <w:basedOn w:val="Normal"/>
    <w:uiPriority w:val="34"/>
    <w:qFormat/>
    <w:rsid w:val="00E041E2"/>
    <w:pPr>
      <w:ind w:left="720"/>
      <w:contextualSpacing/>
    </w:pPr>
  </w:style>
  <w:style w:type="paragraph" w:styleId="Textodebalo">
    <w:name w:val="Balloon Text"/>
    <w:basedOn w:val="Normal"/>
    <w:qFormat/>
    <w:rsid w:val="00E041E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qFormat/>
    <w:rsid w:val="00E041E2"/>
    <w:pPr>
      <w:spacing w:before="0" w:after="0" w:line="240" w:lineRule="auto"/>
      <w:jc w:val="center"/>
    </w:pPr>
    <w:rPr>
      <w:spacing w:val="15"/>
      <w:sz w:val="20"/>
    </w:rPr>
  </w:style>
  <w:style w:type="paragraph" w:customStyle="1" w:styleId="Item">
    <w:name w:val="Item"/>
    <w:basedOn w:val="Normal"/>
    <w:next w:val="Normal"/>
    <w:qFormat/>
    <w:rsid w:val="00E041E2"/>
    <w:pPr>
      <w:tabs>
        <w:tab w:val="num" w:pos="0"/>
      </w:tabs>
      <w:ind w:left="709" w:firstLine="284"/>
    </w:pPr>
    <w:rPr>
      <w:rFonts w:eastAsia="SimSun" w:cs="Arial"/>
      <w:sz w:val="22"/>
      <w:szCs w:val="24"/>
      <w:lang w:eastAsia="pt-BR"/>
    </w:rPr>
  </w:style>
  <w:style w:type="paragraph" w:styleId="TextosemFormatao">
    <w:name w:val="Plain Text"/>
    <w:basedOn w:val="Normal"/>
    <w:qFormat/>
    <w:rsid w:val="00E041E2"/>
    <w:pPr>
      <w:spacing w:before="0" w:after="0" w:line="240" w:lineRule="auto"/>
      <w:jc w:val="left"/>
    </w:pPr>
    <w:rPr>
      <w:rFonts w:ascii="Courier New" w:eastAsia="MS Mincho" w:hAnsi="Courier New" w:cs="Times New Roman"/>
      <w:sz w:val="20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E041E2"/>
    <w:pPr>
      <w:widowControl w:val="0"/>
      <w:suppressLineNumbers/>
    </w:pPr>
  </w:style>
  <w:style w:type="paragraph" w:styleId="Cabealho">
    <w:name w:val="header"/>
    <w:basedOn w:val="Normal"/>
    <w:link w:val="Cabealho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1">
    <w:name w:val="Cabeçalho Char1"/>
    <w:basedOn w:val="Fontepargpadro"/>
    <w:link w:val="Cabealho"/>
    <w:uiPriority w:val="99"/>
    <w:rsid w:val="00542B51"/>
    <w:rPr>
      <w:rFonts w:ascii="Arial" w:hAnsi="Arial"/>
      <w:sz w:val="24"/>
    </w:rPr>
  </w:style>
  <w:style w:type="paragraph" w:styleId="Rodap">
    <w:name w:val="footer"/>
    <w:basedOn w:val="Normal"/>
    <w:link w:val="Rodap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1">
    <w:name w:val="Rodapé Char1"/>
    <w:basedOn w:val="Fontepargpadro"/>
    <w:link w:val="Rodap"/>
    <w:uiPriority w:val="99"/>
    <w:rsid w:val="00542B51"/>
    <w:rPr>
      <w:rFonts w:ascii="Arial" w:hAnsi="Arial"/>
      <w:sz w:val="24"/>
    </w:rPr>
  </w:style>
  <w:style w:type="paragraph" w:customStyle="1" w:styleId="PargrafodaLista1">
    <w:name w:val="Parágrafo da Lista1"/>
    <w:basedOn w:val="Normal"/>
    <w:uiPriority w:val="34"/>
    <w:qFormat/>
    <w:rsid w:val="00A80D05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eastAsia="zh-CN"/>
    </w:rPr>
  </w:style>
  <w:style w:type="table" w:styleId="Tabelacomgrade">
    <w:name w:val="Table Grid"/>
    <w:basedOn w:val="Tabelanormal"/>
    <w:rsid w:val="002F3C0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95527"/>
    <w:pPr>
      <w:widowControl w:val="0"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Ttulo2Char1">
    <w:name w:val="Título 2 Char1"/>
    <w:basedOn w:val="Fontepargpadro"/>
    <w:link w:val="Ttulo2"/>
    <w:rsid w:val="00FF1D8A"/>
    <w:rPr>
      <w:rFonts w:cs="Calibri"/>
      <w:b/>
      <w:bCs/>
      <w:lang w:val="pt-PT"/>
    </w:rPr>
  </w:style>
  <w:style w:type="character" w:customStyle="1" w:styleId="Ttulo3Char">
    <w:name w:val="Título 3 Char"/>
    <w:basedOn w:val="Fontepargpadro"/>
    <w:link w:val="Ttulo3"/>
    <w:rsid w:val="00FF1D8A"/>
    <w:rPr>
      <w:rFonts w:cs="Calibri"/>
      <w:b/>
      <w:bCs/>
      <w:i/>
      <w:lang w:val="pt-PT"/>
    </w:rPr>
  </w:style>
  <w:style w:type="character" w:customStyle="1" w:styleId="Ttulo4Char">
    <w:name w:val="Título 4 Char"/>
    <w:basedOn w:val="Fontepargpadro"/>
    <w:link w:val="Ttulo4"/>
    <w:uiPriority w:val="9"/>
    <w:rsid w:val="00FF1D8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TtulodaTabela">
    <w:name w:val="Título da Tabela"/>
    <w:basedOn w:val="Normal"/>
    <w:uiPriority w:val="99"/>
    <w:rsid w:val="00FF1D8A"/>
    <w:pPr>
      <w:keepNext/>
      <w:numPr>
        <w:numId w:val="15"/>
      </w:numPr>
      <w:tabs>
        <w:tab w:val="clear" w:pos="0"/>
      </w:tabs>
      <w:suppressAutoHyphens w:val="0"/>
      <w:spacing w:line="240" w:lineRule="auto"/>
      <w:ind w:left="1106" w:hanging="1106"/>
    </w:pPr>
    <w:rPr>
      <w:rFonts w:eastAsia="Times New Roman" w:cs="Times New Roman"/>
      <w:caps/>
      <w:sz w:val="20"/>
      <w:szCs w:val="24"/>
    </w:rPr>
  </w:style>
  <w:style w:type="paragraph" w:customStyle="1" w:styleId="TextosemFormatao2">
    <w:name w:val="Texto sem Formatação2"/>
    <w:basedOn w:val="Normal"/>
    <w:qFormat/>
    <w:rsid w:val="00BA45B7"/>
    <w:pPr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tulo10">
    <w:name w:val="Título1"/>
    <w:qFormat/>
    <w:rsid w:val="00BA45B7"/>
    <w:pPr>
      <w:keepNext/>
      <w:widowControl w:val="0"/>
      <w:spacing w:before="240"/>
    </w:pPr>
    <w:rPr>
      <w:rFonts w:ascii="Arial" w:eastAsia="Lucida Sans Unicode" w:hAnsi="Arial" w:cs="Arial"/>
      <w:sz w:val="28"/>
      <w:szCs w:val="28"/>
      <w:lang w:eastAsia="pt-BR"/>
    </w:rPr>
  </w:style>
  <w:style w:type="paragraph" w:customStyle="1" w:styleId="item1">
    <w:name w:val="item 1"/>
    <w:basedOn w:val="Normal"/>
    <w:next w:val="Normal"/>
    <w:qFormat/>
    <w:rsid w:val="00BA45B7"/>
    <w:pPr>
      <w:numPr>
        <w:numId w:val="17"/>
      </w:numPr>
      <w:suppressAutoHyphens w:val="0"/>
      <w:spacing w:before="0" w:after="0"/>
    </w:pPr>
    <w:rPr>
      <w:rFonts w:cs="Times New Roman"/>
      <w:sz w:val="22"/>
    </w:rPr>
  </w:style>
  <w:style w:type="paragraph" w:styleId="NormalWeb">
    <w:name w:val="Normal (Web)"/>
    <w:basedOn w:val="Normal"/>
    <w:uiPriority w:val="99"/>
    <w:unhideWhenUsed/>
    <w:rsid w:val="00AA0082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E12DB"/>
    <w:rPr>
      <w:color w:val="0000FF"/>
      <w:u w:val="single"/>
    </w:rPr>
  </w:style>
  <w:style w:type="character" w:styleId="TextodoEspaoReservado">
    <w:name w:val="Placeholder Text"/>
    <w:basedOn w:val="Fontepargpadro"/>
    <w:uiPriority w:val="99"/>
    <w:semiHidden/>
    <w:rsid w:val="000F6512"/>
    <w:rPr>
      <w:color w:val="808080"/>
    </w:rPr>
  </w:style>
  <w:style w:type="character" w:customStyle="1" w:styleId="Ttulo1Char1">
    <w:name w:val="Título 1 Char1"/>
    <w:basedOn w:val="Fontepargpadro"/>
    <w:link w:val="Ttulo1"/>
    <w:uiPriority w:val="9"/>
    <w:rsid w:val="00824D4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24D4A"/>
    <w:pPr>
      <w:suppressAutoHyphens w:val="0"/>
      <w:spacing w:line="259" w:lineRule="auto"/>
      <w:jc w:val="left"/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824D4A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824D4A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DA334A"/>
    <w:pPr>
      <w:spacing w:after="100"/>
      <w:ind w:left="142"/>
    </w:pPr>
  </w:style>
  <w:style w:type="paragraph" w:customStyle="1" w:styleId="Default">
    <w:name w:val="Default"/>
    <w:rsid w:val="00FF473F"/>
    <w:pPr>
      <w:suppressAutoHyphens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2C0DB-7507-4629-A3E9-5DB643EDB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4</Pages>
  <Words>1085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Thayna Nunes Loureiro</dc:creator>
  <cp:lastModifiedBy>User</cp:lastModifiedBy>
  <cp:revision>30</cp:revision>
  <cp:lastPrinted>2026-01-09T11:47:00Z</cp:lastPrinted>
  <dcterms:created xsi:type="dcterms:W3CDTF">2022-12-29T13:16:00Z</dcterms:created>
  <dcterms:modified xsi:type="dcterms:W3CDTF">2026-01-09T12:08:00Z</dcterms:modified>
  <dc:language>pt-BR</dc:language>
</cp:coreProperties>
</file>